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9624" w14:textId="164742C3" w:rsidR="003A0137" w:rsidRPr="00DE2A1D" w:rsidRDefault="004E03A6" w:rsidP="00CA5E9E">
      <w:pPr>
        <w:spacing w:after="120" w:line="276" w:lineRule="auto"/>
        <w:jc w:val="center"/>
        <w:rPr>
          <w:rFonts w:eastAsia="Times New Roman" w:cstheme="minorHAnsi"/>
          <w:b/>
          <w:bCs/>
          <w:sz w:val="24"/>
          <w:szCs w:val="24"/>
          <w:lang w:val="en-GB" w:eastAsia="pl-PL"/>
        </w:rPr>
      </w:pPr>
      <w:r w:rsidRPr="004E03A6">
        <w:rPr>
          <w:rFonts w:eastAsia="Times New Roman" w:cstheme="minorHAnsi"/>
          <w:b/>
          <w:bCs/>
          <w:sz w:val="24"/>
          <w:szCs w:val="24"/>
          <w:lang w:val="en-GB" w:eastAsia="pl-PL"/>
        </w:rPr>
        <w:t>EU Eastern Border Regions High Level Conference</w:t>
      </w:r>
      <w:r w:rsidRPr="004E03A6" w:rsidDel="004E03A6">
        <w:rPr>
          <w:rFonts w:eastAsia="Times New Roman" w:cstheme="minorHAnsi"/>
          <w:b/>
          <w:bCs/>
          <w:sz w:val="24"/>
          <w:szCs w:val="24"/>
          <w:lang w:val="en-GB" w:eastAsia="pl-PL"/>
        </w:rPr>
        <w:t xml:space="preserve"> </w:t>
      </w:r>
      <w:r w:rsidR="00DF77F1" w:rsidRPr="00DE2A1D">
        <w:rPr>
          <w:rFonts w:eastAsia="Times New Roman" w:cstheme="minorHAnsi"/>
          <w:b/>
          <w:bCs/>
          <w:sz w:val="24"/>
          <w:szCs w:val="24"/>
          <w:lang w:val="en-GB" w:eastAsia="pl-PL"/>
        </w:rPr>
        <w:t xml:space="preserve">– </w:t>
      </w:r>
      <w:r w:rsidR="008F554D" w:rsidRPr="00DE2A1D">
        <w:rPr>
          <w:rFonts w:eastAsia="Times New Roman" w:cstheme="minorHAnsi"/>
          <w:b/>
          <w:bCs/>
          <w:sz w:val="24"/>
          <w:szCs w:val="24"/>
          <w:lang w:val="en-GB" w:eastAsia="pl-PL"/>
        </w:rPr>
        <w:t>issue paper</w:t>
      </w:r>
    </w:p>
    <w:p w14:paraId="12142F30" w14:textId="523C8729" w:rsidR="000D26E8" w:rsidRPr="00BE62A9" w:rsidRDefault="00D67B22" w:rsidP="00CA5E9E">
      <w:pPr>
        <w:pStyle w:val="Akapitzlist"/>
        <w:spacing w:after="120" w:line="276" w:lineRule="auto"/>
        <w:ind w:left="0"/>
        <w:jc w:val="center"/>
        <w:rPr>
          <w:rFonts w:eastAsia="Times New Roman" w:cstheme="minorHAnsi"/>
          <w:lang w:val="en-GB" w:eastAsia="pl-PL"/>
        </w:rPr>
      </w:pPr>
      <w:r w:rsidRPr="00BE62A9">
        <w:rPr>
          <w:rFonts w:eastAsia="Times New Roman" w:cstheme="minorHAnsi"/>
          <w:lang w:val="en-GB" w:eastAsia="pl-PL"/>
        </w:rPr>
        <w:t>– June 26, 2025, Białowieża –</w:t>
      </w:r>
    </w:p>
    <w:p w14:paraId="64D165F6" w14:textId="77777777" w:rsidR="002015C5" w:rsidRPr="00DE2A1D" w:rsidRDefault="002015C5" w:rsidP="00CA5E9E">
      <w:pPr>
        <w:spacing w:after="120" w:line="276" w:lineRule="auto"/>
        <w:jc w:val="center"/>
        <w:rPr>
          <w:rFonts w:eastAsia="Times New Roman" w:cstheme="minorHAnsi"/>
          <w:sz w:val="24"/>
          <w:szCs w:val="24"/>
          <w:lang w:val="en-GB" w:eastAsia="pl-PL"/>
        </w:rPr>
      </w:pPr>
    </w:p>
    <w:p w14:paraId="444F8D0F" w14:textId="14519E43" w:rsidR="00966900" w:rsidRPr="00CA5E9E" w:rsidRDefault="1010D51E" w:rsidP="00CA5E9E">
      <w:pPr>
        <w:spacing w:after="120" w:line="276" w:lineRule="auto"/>
        <w:jc w:val="both"/>
        <w:rPr>
          <w:rFonts w:eastAsia="Times New Roman"/>
          <w:sz w:val="24"/>
          <w:szCs w:val="24"/>
          <w:highlight w:val="yellow"/>
          <w:lang w:val="en-GB" w:eastAsia="pl-PL"/>
        </w:rPr>
      </w:pPr>
      <w:r w:rsidRPr="7D8C22A5">
        <w:rPr>
          <w:rFonts w:eastAsia="Times New Roman"/>
          <w:sz w:val="24"/>
          <w:szCs w:val="24"/>
          <w:lang w:val="en-GB" w:eastAsia="pl-PL"/>
        </w:rPr>
        <w:t>Russia’s war of aggression in Ukraine has had serious impacts on the EU’s eastern border regions</w:t>
      </w:r>
      <w:r w:rsidR="5217EF62" w:rsidRPr="7D8C22A5">
        <w:rPr>
          <w:rFonts w:eastAsia="Times New Roman"/>
          <w:sz w:val="24"/>
          <w:szCs w:val="24"/>
          <w:lang w:val="en-GB" w:eastAsia="pl-PL"/>
        </w:rPr>
        <w:t xml:space="preserve"> that are at the front line in safeguarding the EU's stability and prosperity from external threats. </w:t>
      </w:r>
      <w:r w:rsidRPr="7D8C22A5">
        <w:rPr>
          <w:rFonts w:eastAsia="Times New Roman"/>
          <w:sz w:val="24"/>
          <w:szCs w:val="24"/>
          <w:lang w:val="en-GB" w:eastAsia="pl-PL"/>
        </w:rPr>
        <w:t>These regions were already lagging in economic development, and many already faced serious structural issues which have been compounded by the total closure of their external borders when it comes to Finland, Estonia, Latvia, Lithuania and Poland. On the other hand, regions in Slovakia, Hungary</w:t>
      </w:r>
      <w:r w:rsidR="620078F2" w:rsidRPr="7D8C22A5">
        <w:rPr>
          <w:rFonts w:eastAsia="Times New Roman"/>
          <w:sz w:val="24"/>
          <w:szCs w:val="24"/>
          <w:lang w:val="en-GB" w:eastAsia="pl-PL"/>
        </w:rPr>
        <w:t xml:space="preserve">, </w:t>
      </w:r>
      <w:r w:rsidRPr="7D8C22A5">
        <w:rPr>
          <w:rFonts w:eastAsia="Times New Roman"/>
          <w:sz w:val="24"/>
          <w:szCs w:val="24"/>
          <w:lang w:val="en-GB" w:eastAsia="pl-PL"/>
        </w:rPr>
        <w:t xml:space="preserve">Romania </w:t>
      </w:r>
      <w:r w:rsidR="0B5152F7" w:rsidRPr="7D8C22A5">
        <w:rPr>
          <w:rFonts w:eastAsia="Times New Roman"/>
          <w:sz w:val="24"/>
          <w:szCs w:val="24"/>
          <w:lang w:val="en-GB" w:eastAsia="pl-PL"/>
        </w:rPr>
        <w:t xml:space="preserve">and Poland </w:t>
      </w:r>
      <w:r w:rsidRPr="7D8C22A5">
        <w:rPr>
          <w:rFonts w:eastAsia="Times New Roman"/>
          <w:sz w:val="24"/>
          <w:szCs w:val="24"/>
          <w:lang w:val="en-GB" w:eastAsia="pl-PL"/>
        </w:rPr>
        <w:t>having a common border with Ukraine have intensified exchanges and developed new economic activities.</w:t>
      </w:r>
      <w:r w:rsidR="6F5C5A32" w:rsidRPr="7D8C22A5">
        <w:rPr>
          <w:rFonts w:eastAsia="Times New Roman"/>
          <w:sz w:val="24"/>
          <w:szCs w:val="24"/>
          <w:lang w:val="en-GB" w:eastAsia="pl-PL"/>
        </w:rPr>
        <w:t xml:space="preserve"> </w:t>
      </w:r>
    </w:p>
    <w:p w14:paraId="79414E59" w14:textId="72E5B125" w:rsidR="00427984" w:rsidRPr="00DE2A1D" w:rsidRDefault="00427984" w:rsidP="00CA5E9E">
      <w:pPr>
        <w:spacing w:after="120" w:line="276" w:lineRule="auto"/>
        <w:jc w:val="both"/>
        <w:rPr>
          <w:rFonts w:cstheme="minorHAnsi"/>
          <w:lang w:val="en-GB"/>
        </w:rPr>
      </w:pPr>
      <w:bookmarkStart w:id="0" w:name="_Hlk197434261"/>
      <w:bookmarkEnd w:id="0"/>
    </w:p>
    <w:p w14:paraId="7CDBDD0F" w14:textId="406DB8FF" w:rsidR="00CA5E9E" w:rsidRPr="00CA5E9E" w:rsidRDefault="0426F0B8" w:rsidP="00CA5E9E">
      <w:pPr>
        <w:spacing w:after="120" w:line="276" w:lineRule="auto"/>
        <w:jc w:val="both"/>
        <w:rPr>
          <w:rFonts w:eastAsia="Times New Roman"/>
          <w:sz w:val="24"/>
          <w:szCs w:val="24"/>
          <w:lang w:val="en-US" w:eastAsia="pl-PL"/>
        </w:rPr>
      </w:pPr>
      <w:r w:rsidRPr="00CA5E9E">
        <w:rPr>
          <w:rFonts w:eastAsia="Times New Roman"/>
          <w:sz w:val="24"/>
          <w:szCs w:val="24"/>
          <w:lang w:val="en-US" w:eastAsia="pl-PL"/>
        </w:rPr>
        <w:t>The aim of the meeting</w:t>
      </w:r>
      <w:r w:rsidR="59590FB4" w:rsidRPr="00CA5E9E">
        <w:rPr>
          <w:rFonts w:eastAsia="Times New Roman"/>
          <w:sz w:val="24"/>
          <w:szCs w:val="24"/>
          <w:lang w:val="en-US" w:eastAsia="pl-PL"/>
        </w:rPr>
        <w:t xml:space="preserve"> </w:t>
      </w:r>
      <w:r w:rsidRPr="00CA5E9E">
        <w:rPr>
          <w:rFonts w:eastAsia="Times New Roman"/>
          <w:sz w:val="24"/>
          <w:szCs w:val="24"/>
          <w:lang w:val="en-US" w:eastAsia="pl-PL"/>
        </w:rPr>
        <w:t xml:space="preserve">is to discuss </w:t>
      </w:r>
      <w:r w:rsidR="7709AC5A" w:rsidRPr="00CA5E9E">
        <w:rPr>
          <w:rFonts w:eastAsia="Times New Roman"/>
          <w:sz w:val="24"/>
          <w:szCs w:val="24"/>
          <w:lang w:val="en-US" w:eastAsia="pl-PL"/>
        </w:rPr>
        <w:t xml:space="preserve">the actions to increase the cohesion and resilience of the EU’s eastern border regions in the context of the new financial perspective after 2027, taking into account </w:t>
      </w:r>
      <w:r w:rsidR="7BD7D9DE" w:rsidRPr="00CA5E9E">
        <w:rPr>
          <w:rFonts w:eastAsia="Times New Roman"/>
          <w:sz w:val="24"/>
          <w:szCs w:val="24"/>
          <w:lang w:val="en-US" w:eastAsia="pl-PL"/>
        </w:rPr>
        <w:t xml:space="preserve">the </w:t>
      </w:r>
      <w:r w:rsidR="38A5BE2E" w:rsidRPr="00CA5E9E">
        <w:rPr>
          <w:rFonts w:eastAsia="Times New Roman"/>
          <w:sz w:val="24"/>
          <w:szCs w:val="24"/>
          <w:lang w:val="en-US" w:eastAsia="pl-PL"/>
        </w:rPr>
        <w:t xml:space="preserve">many </w:t>
      </w:r>
      <w:r w:rsidR="681AE7D7" w:rsidRPr="00CA5E9E">
        <w:rPr>
          <w:rFonts w:eastAsia="Times New Roman"/>
          <w:sz w:val="24"/>
          <w:szCs w:val="24"/>
          <w:lang w:val="en-US" w:eastAsia="pl-PL"/>
        </w:rPr>
        <w:t>challenges that the regions face</w:t>
      </w:r>
      <w:r w:rsidR="74A7CEB3" w:rsidRPr="00CA5E9E">
        <w:rPr>
          <w:rFonts w:eastAsia="Times New Roman"/>
          <w:sz w:val="24"/>
          <w:szCs w:val="24"/>
          <w:lang w:val="en-US" w:eastAsia="pl-PL"/>
        </w:rPr>
        <w:t xml:space="preserve"> individually and collectively</w:t>
      </w:r>
      <w:r w:rsidR="681AE7D7" w:rsidRPr="00CA5E9E">
        <w:rPr>
          <w:rFonts w:eastAsia="Times New Roman"/>
          <w:sz w:val="24"/>
          <w:szCs w:val="24"/>
          <w:lang w:val="en-US" w:eastAsia="pl-PL"/>
        </w:rPr>
        <w:t xml:space="preserve">. </w:t>
      </w:r>
    </w:p>
    <w:p w14:paraId="70963BA7" w14:textId="77777777" w:rsidR="00CA5E9E" w:rsidRDefault="00CA5E9E" w:rsidP="00CA5E9E">
      <w:pPr>
        <w:spacing w:after="120" w:line="276" w:lineRule="auto"/>
        <w:jc w:val="both"/>
        <w:rPr>
          <w:rFonts w:eastAsia="Times New Roman" w:cstheme="minorHAnsi"/>
          <w:sz w:val="24"/>
          <w:szCs w:val="24"/>
          <w:lang w:val="en-GB" w:eastAsia="pl-PL"/>
        </w:rPr>
      </w:pPr>
    </w:p>
    <w:p w14:paraId="534031A6" w14:textId="7560C2EA" w:rsidR="006A5A3E" w:rsidRDefault="418E242B" w:rsidP="00CA5E9E">
      <w:pPr>
        <w:spacing w:after="0" w:line="276" w:lineRule="auto"/>
        <w:jc w:val="both"/>
        <w:rPr>
          <w:rFonts w:eastAsia="Times New Roman"/>
          <w:b/>
          <w:bCs/>
          <w:sz w:val="24"/>
          <w:szCs w:val="24"/>
          <w:lang w:eastAsia="pl-PL"/>
        </w:rPr>
      </w:pPr>
      <w:r w:rsidRPr="00CA5E9E">
        <w:rPr>
          <w:rFonts w:eastAsia="Times New Roman"/>
          <w:b/>
          <w:bCs/>
          <w:sz w:val="24"/>
          <w:szCs w:val="24"/>
          <w:lang w:eastAsia="pl-PL"/>
        </w:rPr>
        <w:t>Background</w:t>
      </w:r>
    </w:p>
    <w:p w14:paraId="3FEBEEC2" w14:textId="77777777" w:rsidR="00CA5E9E" w:rsidRDefault="00CA5E9E" w:rsidP="00CA5E9E">
      <w:pPr>
        <w:spacing w:after="0" w:line="276" w:lineRule="auto"/>
        <w:jc w:val="both"/>
        <w:rPr>
          <w:rFonts w:eastAsia="Times New Roman"/>
          <w:b/>
          <w:bCs/>
          <w:sz w:val="24"/>
          <w:szCs w:val="24"/>
          <w:lang w:eastAsia="pl-PL"/>
        </w:rPr>
      </w:pPr>
    </w:p>
    <w:p w14:paraId="7C021640" w14:textId="7F8B0026" w:rsidR="007B4B00" w:rsidRPr="00DE2A1D" w:rsidRDefault="007B4B00" w:rsidP="00CA5E9E">
      <w:pPr>
        <w:spacing w:after="120" w:line="276" w:lineRule="auto"/>
        <w:jc w:val="both"/>
        <w:rPr>
          <w:rFonts w:eastAsia="Times New Roman" w:cstheme="minorHAnsi"/>
          <w:sz w:val="24"/>
          <w:szCs w:val="24"/>
          <w:lang w:val="en-GB" w:eastAsia="pl-PL"/>
        </w:rPr>
      </w:pPr>
      <w:r w:rsidRPr="00DE2A1D">
        <w:rPr>
          <w:rFonts w:eastAsia="Times New Roman" w:cstheme="minorHAnsi"/>
          <w:sz w:val="24"/>
          <w:szCs w:val="24"/>
          <w:lang w:val="en-GB" w:eastAsia="pl-PL"/>
        </w:rPr>
        <w:t xml:space="preserve">The </w:t>
      </w:r>
      <w:r w:rsidR="00AE1F72">
        <w:rPr>
          <w:rFonts w:eastAsia="Times New Roman" w:cstheme="minorHAnsi"/>
          <w:sz w:val="24"/>
          <w:szCs w:val="24"/>
          <w:lang w:val="en-GB" w:eastAsia="pl-PL"/>
        </w:rPr>
        <w:t xml:space="preserve">main impact and challenges for the </w:t>
      </w:r>
      <w:r w:rsidRPr="00DE2A1D">
        <w:rPr>
          <w:rFonts w:eastAsia="Times New Roman" w:cstheme="minorHAnsi"/>
          <w:sz w:val="24"/>
          <w:szCs w:val="24"/>
          <w:lang w:val="en-GB" w:eastAsia="pl-PL"/>
        </w:rPr>
        <w:t>EU's regions bordering Russia, Belarus and Ukraine affected by the ongoing Russian aggression against Ukraine and the geopolitical instability in the region</w:t>
      </w:r>
      <w:r w:rsidR="00AE1F72">
        <w:rPr>
          <w:rFonts w:eastAsia="Times New Roman" w:cstheme="minorHAnsi"/>
          <w:sz w:val="24"/>
          <w:szCs w:val="24"/>
          <w:lang w:val="en-GB" w:eastAsia="pl-PL"/>
        </w:rPr>
        <w:t xml:space="preserve"> are the following:</w:t>
      </w:r>
      <w:r w:rsidR="003A0434">
        <w:rPr>
          <w:rStyle w:val="Odwoanieprzypisudolnego"/>
          <w:rFonts w:eastAsia="Times New Roman" w:cstheme="minorHAnsi"/>
          <w:sz w:val="24"/>
          <w:szCs w:val="24"/>
          <w:lang w:val="en-GB" w:eastAsia="pl-PL"/>
        </w:rPr>
        <w:footnoteReference w:id="2"/>
      </w:r>
      <w:r w:rsidR="00AE1F72">
        <w:rPr>
          <w:rFonts w:eastAsia="Times New Roman" w:cstheme="minorHAnsi"/>
          <w:sz w:val="24"/>
          <w:szCs w:val="24"/>
          <w:lang w:val="en-GB" w:eastAsia="pl-PL"/>
        </w:rPr>
        <w:t xml:space="preserve"> </w:t>
      </w:r>
    </w:p>
    <w:p w14:paraId="771C82CB" w14:textId="6667C09A" w:rsidR="007B4B00" w:rsidRPr="00DE2A1D" w:rsidRDefault="799DE482" w:rsidP="00CA5E9E">
      <w:pPr>
        <w:spacing w:after="120" w:line="276" w:lineRule="auto"/>
        <w:jc w:val="both"/>
        <w:rPr>
          <w:rFonts w:eastAsia="Times New Roman"/>
          <w:sz w:val="24"/>
          <w:szCs w:val="24"/>
          <w:lang w:val="en-GB" w:eastAsia="pl-PL"/>
        </w:rPr>
      </w:pPr>
      <w:r w:rsidRPr="1BDE7D2D">
        <w:rPr>
          <w:rFonts w:eastAsia="Times New Roman"/>
          <w:sz w:val="24"/>
          <w:szCs w:val="24"/>
          <w:lang w:val="en-GB" w:eastAsia="pl-PL"/>
        </w:rPr>
        <w:t>R</w:t>
      </w:r>
      <w:r w:rsidR="2300195D" w:rsidRPr="1BDE7D2D">
        <w:rPr>
          <w:rFonts w:eastAsia="Times New Roman"/>
          <w:sz w:val="24"/>
          <w:szCs w:val="24"/>
          <w:lang w:val="en-GB" w:eastAsia="pl-PL"/>
        </w:rPr>
        <w:t xml:space="preserve">egions </w:t>
      </w:r>
      <w:r w:rsidR="25FD0DFE" w:rsidRPr="1BDE7D2D">
        <w:rPr>
          <w:rFonts w:eastAsia="Times New Roman"/>
          <w:sz w:val="24"/>
          <w:szCs w:val="24"/>
          <w:lang w:val="en-GB" w:eastAsia="pl-PL"/>
        </w:rPr>
        <w:t>bordering Russia and Belarus are struggling with long-term restrictions on cross-border contacts, the closure of local border traffic, the growing risk of</w:t>
      </w:r>
      <w:r w:rsidR="2AE0F168" w:rsidRPr="1BDE7D2D">
        <w:rPr>
          <w:rFonts w:eastAsia="Times New Roman"/>
          <w:sz w:val="24"/>
          <w:szCs w:val="24"/>
          <w:lang w:val="en-GB" w:eastAsia="pl-PL"/>
        </w:rPr>
        <w:t> </w:t>
      </w:r>
      <w:r w:rsidR="25FD0DFE" w:rsidRPr="1BDE7D2D">
        <w:rPr>
          <w:rFonts w:eastAsia="Times New Roman"/>
          <w:sz w:val="24"/>
          <w:szCs w:val="24"/>
          <w:lang w:val="en-GB" w:eastAsia="pl-PL"/>
        </w:rPr>
        <w:t>hybrid attacks, including the instrumentalization of migration, the growing number of cyberattacks</w:t>
      </w:r>
      <w:r w:rsidR="2300195D" w:rsidRPr="1BDE7D2D">
        <w:rPr>
          <w:rFonts w:eastAsia="Times New Roman"/>
          <w:sz w:val="24"/>
          <w:szCs w:val="24"/>
          <w:lang w:val="en-GB" w:eastAsia="pl-PL"/>
        </w:rPr>
        <w:t xml:space="preserve"> and disinformation</w:t>
      </w:r>
      <w:r w:rsidR="25FD0DFE" w:rsidRPr="1BDE7D2D">
        <w:rPr>
          <w:rFonts w:eastAsia="Times New Roman"/>
          <w:sz w:val="24"/>
          <w:szCs w:val="24"/>
          <w:lang w:val="en-GB" w:eastAsia="pl-PL"/>
        </w:rPr>
        <w:t xml:space="preserve">, GPS interference, and damage to </w:t>
      </w:r>
      <w:r w:rsidR="2300195D" w:rsidRPr="1BDE7D2D">
        <w:rPr>
          <w:rFonts w:eastAsia="Times New Roman"/>
          <w:sz w:val="24"/>
          <w:szCs w:val="24"/>
          <w:lang w:val="en-GB" w:eastAsia="pl-PL"/>
        </w:rPr>
        <w:t xml:space="preserve">the </w:t>
      </w:r>
      <w:r w:rsidR="25FD0DFE" w:rsidRPr="1BDE7D2D">
        <w:rPr>
          <w:rFonts w:eastAsia="Times New Roman"/>
          <w:sz w:val="24"/>
          <w:szCs w:val="24"/>
          <w:lang w:val="en-GB" w:eastAsia="pl-PL"/>
        </w:rPr>
        <w:t>communication links. They also experience threats to the physical security and cybersecurity of critical infrastructure.</w:t>
      </w:r>
    </w:p>
    <w:p w14:paraId="43272F5A" w14:textId="3B9E9861" w:rsidR="007B4B00" w:rsidRPr="00DE2A1D" w:rsidRDefault="6C9794CF" w:rsidP="00CA5E9E">
      <w:pPr>
        <w:spacing w:after="120" w:line="276" w:lineRule="auto"/>
        <w:jc w:val="both"/>
        <w:rPr>
          <w:rFonts w:eastAsia="Times New Roman"/>
          <w:sz w:val="24"/>
          <w:szCs w:val="24"/>
          <w:lang w:val="en-GB" w:eastAsia="pl-PL"/>
        </w:rPr>
      </w:pPr>
      <w:r w:rsidRPr="7D8C22A5">
        <w:rPr>
          <w:rFonts w:eastAsia="Times New Roman"/>
          <w:sz w:val="24"/>
          <w:szCs w:val="24"/>
          <w:lang w:val="en-GB" w:eastAsia="pl-PL"/>
        </w:rPr>
        <w:t>As a result,</w:t>
      </w:r>
      <w:r w:rsidR="18950049" w:rsidRPr="7D8C22A5">
        <w:rPr>
          <w:rFonts w:eastAsia="Times New Roman"/>
          <w:sz w:val="24"/>
          <w:szCs w:val="24"/>
          <w:lang w:val="en-GB" w:eastAsia="pl-PL"/>
        </w:rPr>
        <w:t xml:space="preserve"> EU </w:t>
      </w:r>
      <w:r w:rsidR="1E5A8B10" w:rsidRPr="7D8C22A5">
        <w:rPr>
          <w:rFonts w:eastAsia="Times New Roman"/>
          <w:sz w:val="24"/>
          <w:szCs w:val="24"/>
          <w:lang w:val="en-GB" w:eastAsia="pl-PL"/>
        </w:rPr>
        <w:t xml:space="preserve">regions bordering aggressor countries are experiencing </w:t>
      </w:r>
      <w:r w:rsidR="6E2D8C26" w:rsidRPr="7D8C22A5">
        <w:rPr>
          <w:rFonts w:eastAsia="Times New Roman"/>
          <w:sz w:val="24"/>
          <w:szCs w:val="24"/>
          <w:lang w:val="en-GB" w:eastAsia="pl-PL"/>
        </w:rPr>
        <w:t>poorer</w:t>
      </w:r>
      <w:r w:rsidR="1E5A8B10" w:rsidRPr="7D8C22A5">
        <w:rPr>
          <w:rFonts w:eastAsia="Times New Roman"/>
          <w:sz w:val="24"/>
          <w:szCs w:val="24"/>
          <w:lang w:val="en-GB" w:eastAsia="pl-PL"/>
        </w:rPr>
        <w:t xml:space="preserve"> economic performance, </w:t>
      </w:r>
      <w:r w:rsidR="244DE88E" w:rsidRPr="7D8C22A5">
        <w:rPr>
          <w:rFonts w:eastAsia="Times New Roman"/>
          <w:sz w:val="24"/>
          <w:szCs w:val="24"/>
          <w:lang w:val="en-GB" w:eastAsia="pl-PL"/>
        </w:rPr>
        <w:t>for instance</w:t>
      </w:r>
      <w:r w:rsidR="1E5A8B10" w:rsidRPr="7D8C22A5">
        <w:rPr>
          <w:rFonts w:eastAsia="Times New Roman"/>
          <w:sz w:val="24"/>
          <w:szCs w:val="24"/>
          <w:lang w:val="en-GB" w:eastAsia="pl-PL"/>
        </w:rPr>
        <w:t xml:space="preserve"> </w:t>
      </w:r>
      <w:r w:rsidR="40654C9C" w:rsidRPr="7D8C22A5">
        <w:rPr>
          <w:rFonts w:eastAsia="Times New Roman"/>
          <w:sz w:val="24"/>
          <w:szCs w:val="24"/>
          <w:lang w:val="en-GB" w:eastAsia="pl-PL"/>
        </w:rPr>
        <w:t xml:space="preserve">slower </w:t>
      </w:r>
      <w:r w:rsidR="1E5A8B10" w:rsidRPr="7D8C22A5">
        <w:rPr>
          <w:rFonts w:eastAsia="Times New Roman"/>
          <w:sz w:val="24"/>
          <w:szCs w:val="24"/>
          <w:lang w:val="en-GB" w:eastAsia="pl-PL"/>
        </w:rPr>
        <w:t>GDP growth, lower trade</w:t>
      </w:r>
      <w:r w:rsidR="40654C9C" w:rsidRPr="7D8C22A5">
        <w:rPr>
          <w:rFonts w:eastAsia="Times New Roman"/>
          <w:sz w:val="24"/>
          <w:szCs w:val="24"/>
          <w:lang w:val="en-GB" w:eastAsia="pl-PL"/>
        </w:rPr>
        <w:t xml:space="preserve"> volumes</w:t>
      </w:r>
      <w:r w:rsidR="1E5A8B10" w:rsidRPr="7D8C22A5">
        <w:rPr>
          <w:rFonts w:eastAsia="Times New Roman"/>
          <w:sz w:val="24"/>
          <w:szCs w:val="24"/>
          <w:lang w:val="en-GB" w:eastAsia="pl-PL"/>
        </w:rPr>
        <w:t xml:space="preserve">, </w:t>
      </w:r>
      <w:r w:rsidR="40654C9C" w:rsidRPr="7D8C22A5">
        <w:rPr>
          <w:rFonts w:eastAsia="Times New Roman"/>
          <w:sz w:val="24"/>
          <w:szCs w:val="24"/>
          <w:lang w:val="en-GB" w:eastAsia="pl-PL"/>
        </w:rPr>
        <w:t xml:space="preserve">decline </w:t>
      </w:r>
      <w:r w:rsidR="6E2D8C26" w:rsidRPr="7D8C22A5">
        <w:rPr>
          <w:rFonts w:eastAsia="Times New Roman"/>
          <w:sz w:val="24"/>
          <w:szCs w:val="24"/>
          <w:lang w:val="en-GB" w:eastAsia="pl-PL"/>
        </w:rPr>
        <w:t>in</w:t>
      </w:r>
      <w:r w:rsidR="1E5A8B10" w:rsidRPr="7D8C22A5">
        <w:rPr>
          <w:rFonts w:eastAsia="Times New Roman"/>
          <w:sz w:val="24"/>
          <w:szCs w:val="24"/>
          <w:lang w:val="en-GB" w:eastAsia="pl-PL"/>
        </w:rPr>
        <w:t xml:space="preserve"> foreign</w:t>
      </w:r>
      <w:r w:rsidR="6E2D8C26" w:rsidRPr="7D8C22A5">
        <w:rPr>
          <w:rFonts w:eastAsia="Times New Roman"/>
          <w:sz w:val="24"/>
          <w:szCs w:val="24"/>
          <w:lang w:val="en-GB" w:eastAsia="pl-PL"/>
        </w:rPr>
        <w:t xml:space="preserve"> direct</w:t>
      </w:r>
      <w:r w:rsidR="1E5A8B10" w:rsidRPr="7D8C22A5">
        <w:rPr>
          <w:rFonts w:eastAsia="Times New Roman"/>
          <w:sz w:val="24"/>
          <w:szCs w:val="24"/>
          <w:lang w:val="en-GB" w:eastAsia="pl-PL"/>
        </w:rPr>
        <w:t xml:space="preserve"> invest</w:t>
      </w:r>
      <w:r w:rsidR="6E2D8C26" w:rsidRPr="7D8C22A5">
        <w:rPr>
          <w:rFonts w:eastAsia="Times New Roman"/>
          <w:sz w:val="24"/>
          <w:szCs w:val="24"/>
          <w:lang w:val="en-GB" w:eastAsia="pl-PL"/>
        </w:rPr>
        <w:t>ments</w:t>
      </w:r>
      <w:r w:rsidR="1E5A8B10" w:rsidRPr="7D8C22A5">
        <w:rPr>
          <w:rFonts w:eastAsia="Times New Roman"/>
          <w:sz w:val="24"/>
          <w:szCs w:val="24"/>
          <w:lang w:val="en-GB" w:eastAsia="pl-PL"/>
        </w:rPr>
        <w:t xml:space="preserve">, </w:t>
      </w:r>
      <w:r w:rsidR="40654C9C" w:rsidRPr="7D8C22A5">
        <w:rPr>
          <w:rFonts w:eastAsia="Times New Roman"/>
          <w:sz w:val="24"/>
          <w:szCs w:val="24"/>
          <w:lang w:val="en-GB" w:eastAsia="pl-PL"/>
        </w:rPr>
        <w:t xml:space="preserve">reduced </w:t>
      </w:r>
      <w:r w:rsidR="1E5A8B10" w:rsidRPr="7D8C22A5">
        <w:rPr>
          <w:rFonts w:eastAsia="Times New Roman"/>
          <w:sz w:val="24"/>
          <w:szCs w:val="24"/>
          <w:lang w:val="en-GB" w:eastAsia="pl-PL"/>
        </w:rPr>
        <w:t>flows of goods and a slowdown in tourism</w:t>
      </w:r>
      <w:r w:rsidR="6E2D8C26" w:rsidRPr="7D8C22A5">
        <w:rPr>
          <w:rFonts w:eastAsia="Times New Roman"/>
          <w:sz w:val="24"/>
          <w:szCs w:val="24"/>
          <w:lang w:val="en-GB" w:eastAsia="pl-PL"/>
        </w:rPr>
        <w:t xml:space="preserve">. </w:t>
      </w:r>
      <w:r w:rsidR="73A34AAB" w:rsidRPr="7D8C22A5">
        <w:rPr>
          <w:rFonts w:eastAsia="Times New Roman"/>
          <w:sz w:val="24"/>
          <w:szCs w:val="24"/>
          <w:lang w:val="en-GB" w:eastAsia="pl-PL"/>
        </w:rPr>
        <w:t xml:space="preserve">Due to this economic impact and the loss of </w:t>
      </w:r>
      <w:r w:rsidR="3D58E2ED" w:rsidRPr="7D8C22A5">
        <w:rPr>
          <w:rFonts w:eastAsia="Times New Roman"/>
          <w:sz w:val="24"/>
          <w:szCs w:val="24"/>
          <w:lang w:val="en-GB" w:eastAsia="pl-PL"/>
        </w:rPr>
        <w:t>markets previously located in aggressor countries</w:t>
      </w:r>
      <w:r w:rsidR="337F6607" w:rsidRPr="7D8C22A5">
        <w:rPr>
          <w:rFonts w:eastAsia="Times New Roman"/>
          <w:sz w:val="24"/>
          <w:szCs w:val="24"/>
          <w:lang w:val="en-GB" w:eastAsia="pl-PL"/>
        </w:rPr>
        <w:t>, many companies have closed</w:t>
      </w:r>
      <w:r w:rsidR="0B86DA3A" w:rsidRPr="7D8C22A5">
        <w:rPr>
          <w:rFonts w:eastAsia="Times New Roman"/>
          <w:sz w:val="24"/>
          <w:szCs w:val="24"/>
          <w:lang w:val="en-GB" w:eastAsia="pl-PL"/>
        </w:rPr>
        <w:t>,</w:t>
      </w:r>
      <w:r w:rsidR="337F6607" w:rsidRPr="7D8C22A5">
        <w:rPr>
          <w:rFonts w:eastAsia="Times New Roman"/>
          <w:sz w:val="24"/>
          <w:szCs w:val="24"/>
          <w:lang w:val="en-GB" w:eastAsia="pl-PL"/>
        </w:rPr>
        <w:t xml:space="preserve"> and unemployment has increased, particularly in the industrial sector.</w:t>
      </w:r>
    </w:p>
    <w:p w14:paraId="07134DFA" w14:textId="22728020" w:rsidR="008C03E3" w:rsidRDefault="261CF2D8" w:rsidP="00CA5E9E">
      <w:pPr>
        <w:spacing w:after="120" w:line="276" w:lineRule="auto"/>
        <w:jc w:val="both"/>
        <w:rPr>
          <w:rFonts w:eastAsia="Times New Roman"/>
          <w:sz w:val="24"/>
          <w:szCs w:val="24"/>
          <w:lang w:val="en-GB" w:eastAsia="pl-PL"/>
        </w:rPr>
      </w:pPr>
      <w:r w:rsidRPr="7D8C22A5">
        <w:rPr>
          <w:rFonts w:eastAsia="Times New Roman"/>
          <w:sz w:val="24"/>
          <w:szCs w:val="24"/>
          <w:lang w:val="en-GB" w:eastAsia="pl-PL"/>
        </w:rPr>
        <w:t xml:space="preserve">The increase in uncertainty </w:t>
      </w:r>
      <w:r w:rsidR="30E7A5C3" w:rsidRPr="7D8C22A5">
        <w:rPr>
          <w:rFonts w:eastAsia="Times New Roman"/>
          <w:sz w:val="24"/>
          <w:szCs w:val="24"/>
          <w:lang w:val="en-GB" w:eastAsia="pl-PL"/>
        </w:rPr>
        <w:t xml:space="preserve">and </w:t>
      </w:r>
      <w:r w:rsidR="1E39DE61" w:rsidRPr="7D8C22A5">
        <w:rPr>
          <w:rFonts w:eastAsia="Times New Roman"/>
          <w:sz w:val="24"/>
          <w:szCs w:val="24"/>
          <w:lang w:val="en-GB" w:eastAsia="pl-PL"/>
        </w:rPr>
        <w:t xml:space="preserve">the </w:t>
      </w:r>
      <w:r w:rsidR="30E7A5C3" w:rsidRPr="7D8C22A5">
        <w:rPr>
          <w:rFonts w:eastAsia="Times New Roman"/>
          <w:sz w:val="24"/>
          <w:szCs w:val="24"/>
          <w:lang w:val="en-GB" w:eastAsia="pl-PL"/>
        </w:rPr>
        <w:t xml:space="preserve">deteriorating sense of security </w:t>
      </w:r>
      <w:r w:rsidRPr="7D8C22A5">
        <w:rPr>
          <w:rFonts w:eastAsia="Times New Roman"/>
          <w:sz w:val="24"/>
          <w:szCs w:val="24"/>
          <w:lang w:val="en-GB" w:eastAsia="pl-PL"/>
        </w:rPr>
        <w:t>ha</w:t>
      </w:r>
      <w:r w:rsidR="37E2D192" w:rsidRPr="7D8C22A5">
        <w:rPr>
          <w:rFonts w:eastAsia="Times New Roman"/>
          <w:sz w:val="24"/>
          <w:szCs w:val="24"/>
          <w:lang w:val="en-GB" w:eastAsia="pl-PL"/>
        </w:rPr>
        <w:t>ve</w:t>
      </w:r>
      <w:r w:rsidRPr="7D8C22A5">
        <w:rPr>
          <w:rFonts w:eastAsia="Times New Roman"/>
          <w:sz w:val="24"/>
          <w:szCs w:val="24"/>
          <w:lang w:val="en-GB" w:eastAsia="pl-PL"/>
        </w:rPr>
        <w:t xml:space="preserve"> accelerated negative demographic trends, including the depopulation of regions</w:t>
      </w:r>
      <w:r w:rsidR="120E2AF9" w:rsidRPr="7D8C22A5">
        <w:rPr>
          <w:rFonts w:eastAsia="Times New Roman"/>
          <w:sz w:val="24"/>
          <w:szCs w:val="24"/>
          <w:lang w:val="en-GB" w:eastAsia="pl-PL"/>
        </w:rPr>
        <w:t xml:space="preserve"> bordering Russia and Belarus</w:t>
      </w:r>
      <w:r w:rsidRPr="7D8C22A5">
        <w:rPr>
          <w:rFonts w:eastAsia="Times New Roman"/>
          <w:sz w:val="24"/>
          <w:szCs w:val="24"/>
          <w:lang w:val="en-GB" w:eastAsia="pl-PL"/>
        </w:rPr>
        <w:t xml:space="preserve">. </w:t>
      </w:r>
      <w:r w:rsidR="35AC687C" w:rsidRPr="7D8C22A5">
        <w:rPr>
          <w:rFonts w:eastAsia="Times New Roman"/>
          <w:sz w:val="24"/>
          <w:szCs w:val="24"/>
          <w:lang w:val="en-GB" w:eastAsia="pl-PL"/>
        </w:rPr>
        <w:t xml:space="preserve">These </w:t>
      </w:r>
      <w:r w:rsidR="428AB931" w:rsidRPr="7D8C22A5">
        <w:rPr>
          <w:rFonts w:eastAsia="Times New Roman"/>
          <w:sz w:val="24"/>
          <w:szCs w:val="24"/>
          <w:lang w:val="en-GB" w:eastAsia="pl-PL"/>
        </w:rPr>
        <w:t xml:space="preserve">regions face a sharp decline in the working-age population, triggering internal disparities, economic stagnation or recession, struggling health systems, and reduced access to services. </w:t>
      </w:r>
      <w:r w:rsidR="4E7F6F41" w:rsidRPr="7D8C22A5">
        <w:rPr>
          <w:rFonts w:eastAsia="Times New Roman"/>
          <w:sz w:val="24"/>
          <w:szCs w:val="24"/>
          <w:lang w:val="en-GB" w:eastAsia="pl-PL"/>
        </w:rPr>
        <w:t xml:space="preserve">Population leaving </w:t>
      </w:r>
      <w:r w:rsidRPr="7D8C22A5">
        <w:rPr>
          <w:rFonts w:eastAsia="Times New Roman"/>
          <w:sz w:val="24"/>
          <w:szCs w:val="24"/>
          <w:lang w:val="en-GB" w:eastAsia="pl-PL"/>
        </w:rPr>
        <w:t xml:space="preserve">from the border regions in search of </w:t>
      </w:r>
      <w:r w:rsidR="3000A0B3" w:rsidRPr="7D8C22A5">
        <w:rPr>
          <w:rFonts w:eastAsia="Times New Roman"/>
          <w:sz w:val="24"/>
          <w:szCs w:val="24"/>
          <w:lang w:val="en-GB" w:eastAsia="pl-PL"/>
        </w:rPr>
        <w:t xml:space="preserve">better and </w:t>
      </w:r>
      <w:r w:rsidR="0EA3FEA9" w:rsidRPr="7D8C22A5">
        <w:rPr>
          <w:rFonts w:eastAsia="Times New Roman"/>
          <w:sz w:val="24"/>
          <w:szCs w:val="24"/>
          <w:lang w:val="en-GB" w:eastAsia="pl-PL"/>
        </w:rPr>
        <w:t>safer</w:t>
      </w:r>
      <w:r w:rsidRPr="7D8C22A5">
        <w:rPr>
          <w:rFonts w:eastAsia="Times New Roman"/>
          <w:sz w:val="24"/>
          <w:szCs w:val="24"/>
          <w:lang w:val="en-GB" w:eastAsia="pl-PL"/>
        </w:rPr>
        <w:t xml:space="preserve"> conditions, </w:t>
      </w:r>
      <w:r w:rsidR="2A157C3D" w:rsidRPr="7D8C22A5">
        <w:rPr>
          <w:rFonts w:eastAsia="Times New Roman"/>
          <w:sz w:val="24"/>
          <w:szCs w:val="24"/>
          <w:lang w:val="en-GB" w:eastAsia="pl-PL"/>
        </w:rPr>
        <w:t>incre</w:t>
      </w:r>
      <w:r w:rsidR="1EF22FEB" w:rsidRPr="7D8C22A5">
        <w:rPr>
          <w:rFonts w:eastAsia="Times New Roman"/>
          <w:sz w:val="24"/>
          <w:szCs w:val="24"/>
          <w:lang w:val="en-GB" w:eastAsia="pl-PL"/>
        </w:rPr>
        <w:t>a</w:t>
      </w:r>
      <w:r w:rsidR="2A157C3D" w:rsidRPr="7D8C22A5">
        <w:rPr>
          <w:rFonts w:eastAsia="Times New Roman"/>
          <w:sz w:val="24"/>
          <w:szCs w:val="24"/>
          <w:lang w:val="en-GB" w:eastAsia="pl-PL"/>
        </w:rPr>
        <w:t xml:space="preserve">se </w:t>
      </w:r>
      <w:r w:rsidRPr="7D8C22A5">
        <w:rPr>
          <w:rFonts w:eastAsia="Times New Roman"/>
          <w:sz w:val="24"/>
          <w:szCs w:val="24"/>
          <w:lang w:val="en-GB" w:eastAsia="pl-PL"/>
        </w:rPr>
        <w:t>the skills shortage and lower the tax base of local governments</w:t>
      </w:r>
      <w:r w:rsidR="0DA6A425" w:rsidRPr="7D8C22A5">
        <w:rPr>
          <w:rFonts w:eastAsia="Times New Roman"/>
          <w:sz w:val="24"/>
          <w:szCs w:val="24"/>
          <w:lang w:val="en-GB" w:eastAsia="pl-PL"/>
        </w:rPr>
        <w:t xml:space="preserve"> in these regions</w:t>
      </w:r>
      <w:r w:rsidRPr="7D8C22A5">
        <w:rPr>
          <w:rFonts w:eastAsia="Times New Roman"/>
          <w:sz w:val="24"/>
          <w:szCs w:val="24"/>
          <w:lang w:val="en-GB" w:eastAsia="pl-PL"/>
        </w:rPr>
        <w:t xml:space="preserve">. </w:t>
      </w:r>
    </w:p>
    <w:p w14:paraId="3C41313F" w14:textId="1854D58D" w:rsidR="008C03E3" w:rsidRDefault="371BBA2D" w:rsidP="00CA5E9E">
      <w:pPr>
        <w:spacing w:after="120" w:line="276" w:lineRule="auto"/>
        <w:jc w:val="both"/>
        <w:rPr>
          <w:rFonts w:eastAsia="Times New Roman"/>
          <w:sz w:val="24"/>
          <w:szCs w:val="24"/>
          <w:lang w:val="en-GB" w:eastAsia="pl-PL"/>
        </w:rPr>
      </w:pPr>
      <w:r w:rsidRPr="1BDE7D2D">
        <w:rPr>
          <w:rFonts w:eastAsia="Times New Roman"/>
          <w:sz w:val="24"/>
          <w:szCs w:val="24"/>
          <w:lang w:val="en-GB" w:eastAsia="pl-PL"/>
        </w:rPr>
        <w:lastRenderedPageBreak/>
        <w:t xml:space="preserve">At the same time, the border regions </w:t>
      </w:r>
      <w:r w:rsidR="0C95C815" w:rsidRPr="1BDE7D2D">
        <w:rPr>
          <w:rFonts w:eastAsia="Times New Roman"/>
          <w:sz w:val="24"/>
          <w:szCs w:val="24"/>
          <w:lang w:val="en-GB" w:eastAsia="pl-PL"/>
        </w:rPr>
        <w:t xml:space="preserve">with Ukraine </w:t>
      </w:r>
      <w:r w:rsidRPr="1BDE7D2D">
        <w:rPr>
          <w:rFonts w:eastAsia="Times New Roman"/>
          <w:sz w:val="24"/>
          <w:szCs w:val="24"/>
          <w:lang w:val="en-GB" w:eastAsia="pl-PL"/>
        </w:rPr>
        <w:t>experienc</w:t>
      </w:r>
      <w:r w:rsidR="2AA51BD2" w:rsidRPr="1BDE7D2D">
        <w:rPr>
          <w:rFonts w:eastAsia="Times New Roman"/>
          <w:sz w:val="24"/>
          <w:szCs w:val="24"/>
          <w:lang w:val="en-GB" w:eastAsia="pl-PL"/>
        </w:rPr>
        <w:t>e</w:t>
      </w:r>
      <w:r w:rsidRPr="1BDE7D2D">
        <w:rPr>
          <w:rFonts w:eastAsia="Times New Roman"/>
          <w:sz w:val="24"/>
          <w:szCs w:val="24"/>
          <w:lang w:val="en-GB" w:eastAsia="pl-PL"/>
        </w:rPr>
        <w:t xml:space="preserve"> the negative consequences of </w:t>
      </w:r>
      <w:r w:rsidR="4AC7F8B7" w:rsidRPr="1BDE7D2D">
        <w:rPr>
          <w:rFonts w:eastAsia="Times New Roman"/>
          <w:sz w:val="24"/>
          <w:szCs w:val="24"/>
          <w:lang w:val="en-GB" w:eastAsia="pl-PL"/>
        </w:rPr>
        <w:t>intensification of cross-border contacts -</w:t>
      </w:r>
      <w:r w:rsidR="4EEF30BD" w:rsidRPr="1BDE7D2D">
        <w:rPr>
          <w:rFonts w:eastAsia="Times New Roman"/>
          <w:sz w:val="24"/>
          <w:szCs w:val="24"/>
          <w:lang w:val="en-GB" w:eastAsia="pl-PL"/>
        </w:rPr>
        <w:t xml:space="preserve"> </w:t>
      </w:r>
      <w:r w:rsidR="762FC01C" w:rsidRPr="1BDE7D2D">
        <w:rPr>
          <w:rFonts w:eastAsia="Times New Roman"/>
          <w:sz w:val="24"/>
          <w:szCs w:val="24"/>
          <w:lang w:val="en-GB" w:eastAsia="pl-PL"/>
        </w:rPr>
        <w:t>more</w:t>
      </w:r>
      <w:r w:rsidRPr="1BDE7D2D">
        <w:rPr>
          <w:rFonts w:eastAsia="Times New Roman"/>
          <w:sz w:val="24"/>
          <w:szCs w:val="24"/>
          <w:lang w:val="en-GB" w:eastAsia="pl-PL"/>
        </w:rPr>
        <w:t xml:space="preserve"> people need </w:t>
      </w:r>
      <w:r w:rsidR="5F0E9671" w:rsidRPr="1BDE7D2D">
        <w:rPr>
          <w:rFonts w:eastAsia="Times New Roman"/>
          <w:sz w:val="24"/>
          <w:szCs w:val="24"/>
          <w:lang w:val="en-GB" w:eastAsia="pl-PL"/>
        </w:rPr>
        <w:t xml:space="preserve">housing, </w:t>
      </w:r>
      <w:r w:rsidRPr="1BDE7D2D">
        <w:rPr>
          <w:rFonts w:eastAsia="Times New Roman"/>
          <w:sz w:val="24"/>
          <w:szCs w:val="24"/>
          <w:lang w:val="en-GB" w:eastAsia="pl-PL"/>
        </w:rPr>
        <w:t>health</w:t>
      </w:r>
      <w:r w:rsidR="5385906D" w:rsidRPr="1BDE7D2D">
        <w:rPr>
          <w:rFonts w:eastAsia="Times New Roman"/>
          <w:sz w:val="24"/>
          <w:szCs w:val="24"/>
          <w:lang w:val="en-GB" w:eastAsia="pl-PL"/>
        </w:rPr>
        <w:t xml:space="preserve"> and </w:t>
      </w:r>
      <w:r w:rsidRPr="1BDE7D2D">
        <w:rPr>
          <w:rFonts w:eastAsia="Times New Roman"/>
          <w:sz w:val="24"/>
          <w:szCs w:val="24"/>
          <w:lang w:val="en-GB" w:eastAsia="pl-PL"/>
        </w:rPr>
        <w:t xml:space="preserve">social </w:t>
      </w:r>
      <w:r w:rsidR="6A93DA39" w:rsidRPr="1BDE7D2D">
        <w:rPr>
          <w:rFonts w:eastAsia="Times New Roman"/>
          <w:sz w:val="24"/>
          <w:szCs w:val="24"/>
          <w:lang w:val="en-GB" w:eastAsia="pl-PL"/>
        </w:rPr>
        <w:t>services</w:t>
      </w:r>
      <w:r w:rsidRPr="1BDE7D2D">
        <w:rPr>
          <w:rFonts w:eastAsia="Times New Roman"/>
          <w:sz w:val="24"/>
          <w:szCs w:val="24"/>
          <w:lang w:val="en-GB" w:eastAsia="pl-PL"/>
        </w:rPr>
        <w:t>. Local and regional governments are facing increasing pressure on public services</w:t>
      </w:r>
      <w:r w:rsidR="534D2572" w:rsidRPr="1BDE7D2D">
        <w:rPr>
          <w:rFonts w:eastAsia="Times New Roman"/>
          <w:sz w:val="24"/>
          <w:szCs w:val="24"/>
          <w:lang w:val="en-GB" w:eastAsia="pl-PL"/>
        </w:rPr>
        <w:t xml:space="preserve"> and </w:t>
      </w:r>
      <w:r w:rsidR="13C5EA94" w:rsidRPr="1BDE7D2D">
        <w:rPr>
          <w:rFonts w:eastAsia="Times New Roman"/>
          <w:sz w:val="24"/>
          <w:szCs w:val="24"/>
          <w:lang w:val="en-GB" w:eastAsia="pl-PL"/>
        </w:rPr>
        <w:t>infrastructure</w:t>
      </w:r>
      <w:r w:rsidR="73978D02" w:rsidRPr="1BDE7D2D">
        <w:rPr>
          <w:rFonts w:eastAsia="Times New Roman"/>
          <w:sz w:val="24"/>
          <w:szCs w:val="24"/>
          <w:lang w:val="en-GB" w:eastAsia="pl-PL"/>
        </w:rPr>
        <w:t>.</w:t>
      </w:r>
    </w:p>
    <w:p w14:paraId="22879DCA" w14:textId="77777777" w:rsidR="00972AB4" w:rsidRPr="00AD4C6D" w:rsidRDefault="00972AB4" w:rsidP="00972AB4">
      <w:pPr>
        <w:spacing w:after="120" w:line="276" w:lineRule="auto"/>
        <w:jc w:val="both"/>
        <w:rPr>
          <w:rFonts w:eastAsia="Times New Roman"/>
          <w:sz w:val="24"/>
          <w:szCs w:val="24"/>
          <w:lang w:val="en-GB" w:eastAsia="pl-PL"/>
        </w:rPr>
      </w:pPr>
      <w:r w:rsidRPr="00986AFF">
        <w:rPr>
          <w:rFonts w:eastAsia="Times New Roman"/>
          <w:sz w:val="24"/>
          <w:szCs w:val="24"/>
          <w:lang w:val="en-GB" w:eastAsia="pl-PL"/>
        </w:rPr>
        <w:t>The risk of poverty and social exclusion is critically high, households suffered from significant inflation. In 2023, price levels increased by 30% in Estonia, 29% in Lithuania, 28% in Latvia, and 25% in Poland compared to 2021, far exceeding the EU average increase of 16%.</w:t>
      </w:r>
    </w:p>
    <w:p w14:paraId="137814CA" w14:textId="794D3C26" w:rsidR="000D4472" w:rsidRDefault="000D4472" w:rsidP="00CA5E9E">
      <w:pPr>
        <w:spacing w:after="120" w:line="276" w:lineRule="auto"/>
        <w:jc w:val="both"/>
        <w:rPr>
          <w:rFonts w:eastAsia="Times New Roman" w:cstheme="minorHAnsi"/>
          <w:sz w:val="24"/>
          <w:szCs w:val="24"/>
          <w:lang w:val="en-GB" w:eastAsia="pl-PL"/>
        </w:rPr>
      </w:pPr>
      <w:r w:rsidRPr="00DE2A1D">
        <w:rPr>
          <w:rFonts w:eastAsia="Times New Roman" w:cstheme="minorHAnsi"/>
          <w:sz w:val="24"/>
          <w:szCs w:val="24"/>
          <w:lang w:val="en-GB" w:eastAsia="pl-PL"/>
        </w:rPr>
        <w:t>Th</w:t>
      </w:r>
      <w:r>
        <w:rPr>
          <w:rFonts w:eastAsia="Times New Roman" w:cstheme="minorHAnsi"/>
          <w:sz w:val="24"/>
          <w:szCs w:val="24"/>
          <w:lang w:val="en-GB" w:eastAsia="pl-PL"/>
        </w:rPr>
        <w:t>ese</w:t>
      </w:r>
      <w:r w:rsidRPr="00DE2A1D">
        <w:rPr>
          <w:rFonts w:eastAsia="Times New Roman" w:cstheme="minorHAnsi"/>
          <w:sz w:val="24"/>
          <w:szCs w:val="24"/>
          <w:lang w:val="en-GB" w:eastAsia="pl-PL"/>
        </w:rPr>
        <w:t xml:space="preserve"> circumstances deepen existing development inequalities</w:t>
      </w:r>
      <w:r>
        <w:rPr>
          <w:rFonts w:eastAsia="Times New Roman" w:cstheme="minorHAnsi"/>
          <w:sz w:val="24"/>
          <w:szCs w:val="24"/>
          <w:lang w:val="en-GB" w:eastAsia="pl-PL"/>
        </w:rPr>
        <w:t xml:space="preserve"> and undermine every citizen’s right to stay.</w:t>
      </w:r>
    </w:p>
    <w:p w14:paraId="0317472E" w14:textId="31CB965B" w:rsidR="00DE35C0" w:rsidRPr="00DE2A1D" w:rsidRDefault="75F9F45B" w:rsidP="00CA5E9E">
      <w:pPr>
        <w:spacing w:after="120" w:line="276" w:lineRule="auto"/>
        <w:jc w:val="both"/>
        <w:rPr>
          <w:rFonts w:eastAsia="Times New Roman"/>
          <w:sz w:val="24"/>
          <w:szCs w:val="24"/>
          <w:lang w:val="en-GB" w:eastAsia="pl-PL"/>
        </w:rPr>
      </w:pPr>
      <w:r w:rsidRPr="7D8C22A5">
        <w:rPr>
          <w:rFonts w:eastAsia="Times New Roman"/>
          <w:sz w:val="24"/>
          <w:szCs w:val="24"/>
          <w:lang w:val="en-GB" w:eastAsia="pl-PL"/>
        </w:rPr>
        <w:t>In the security sphere, regions bordering aggressor countries are a natural space for actions to</w:t>
      </w:r>
      <w:r w:rsidR="7010CF5D" w:rsidRPr="7D8C22A5">
        <w:rPr>
          <w:rFonts w:eastAsia="Times New Roman"/>
          <w:sz w:val="24"/>
          <w:szCs w:val="24"/>
          <w:lang w:val="en-GB" w:eastAsia="pl-PL"/>
        </w:rPr>
        <w:t> </w:t>
      </w:r>
      <w:r w:rsidRPr="7D8C22A5">
        <w:rPr>
          <w:rFonts w:eastAsia="Times New Roman"/>
          <w:sz w:val="24"/>
          <w:szCs w:val="24"/>
          <w:lang w:val="en-GB" w:eastAsia="pl-PL"/>
        </w:rPr>
        <w:t xml:space="preserve">increase Europe's preparedness for worst-case scenarios, improving military mobility and strengthening external borders. </w:t>
      </w:r>
      <w:r w:rsidR="3B5FEEDF" w:rsidRPr="7D8C22A5">
        <w:rPr>
          <w:rFonts w:eastAsia="Times New Roman"/>
          <w:sz w:val="24"/>
          <w:szCs w:val="24"/>
          <w:lang w:val="en-GB" w:eastAsia="pl-PL"/>
        </w:rPr>
        <w:t>While</w:t>
      </w:r>
      <w:r w:rsidRPr="7D8C22A5">
        <w:rPr>
          <w:rFonts w:eastAsia="Times New Roman"/>
          <w:sz w:val="24"/>
          <w:szCs w:val="24"/>
          <w:lang w:val="en-GB" w:eastAsia="pl-PL"/>
        </w:rPr>
        <w:t xml:space="preserve"> this strengthens the strategic importance of</w:t>
      </w:r>
      <w:r w:rsidR="7010CF5D" w:rsidRPr="7D8C22A5">
        <w:rPr>
          <w:rFonts w:eastAsia="Times New Roman"/>
          <w:sz w:val="24"/>
          <w:szCs w:val="24"/>
          <w:lang w:val="en-GB" w:eastAsia="pl-PL"/>
        </w:rPr>
        <w:t> </w:t>
      </w:r>
      <w:r w:rsidRPr="7D8C22A5">
        <w:rPr>
          <w:rFonts w:eastAsia="Times New Roman"/>
          <w:sz w:val="24"/>
          <w:szCs w:val="24"/>
          <w:lang w:val="en-GB" w:eastAsia="pl-PL"/>
        </w:rPr>
        <w:t>these regions,</w:t>
      </w:r>
      <w:r w:rsidR="223852E6" w:rsidRPr="7D8C22A5">
        <w:rPr>
          <w:rFonts w:eastAsia="Times New Roman"/>
          <w:sz w:val="24"/>
          <w:szCs w:val="24"/>
          <w:lang w:val="en-GB" w:eastAsia="pl-PL"/>
        </w:rPr>
        <w:t xml:space="preserve"> </w:t>
      </w:r>
      <w:r w:rsidR="51830F14" w:rsidRPr="7D8C22A5">
        <w:rPr>
          <w:rFonts w:eastAsia="Times New Roman"/>
          <w:sz w:val="24"/>
          <w:szCs w:val="24"/>
          <w:lang w:val="en-GB" w:eastAsia="pl-PL"/>
        </w:rPr>
        <w:t xml:space="preserve">the </w:t>
      </w:r>
      <w:r w:rsidR="223852E6" w:rsidRPr="7D8C22A5">
        <w:rPr>
          <w:rFonts w:eastAsia="Times New Roman"/>
          <w:sz w:val="24"/>
          <w:szCs w:val="24"/>
          <w:lang w:val="en-GB" w:eastAsia="pl-PL"/>
        </w:rPr>
        <w:t>unstable security situation</w:t>
      </w:r>
      <w:r w:rsidRPr="7D8C22A5">
        <w:rPr>
          <w:rFonts w:eastAsia="Times New Roman"/>
          <w:sz w:val="24"/>
          <w:szCs w:val="24"/>
          <w:lang w:val="en-GB" w:eastAsia="pl-PL"/>
        </w:rPr>
        <w:t xml:space="preserve"> decrease</w:t>
      </w:r>
      <w:r w:rsidR="5A07DDE9" w:rsidRPr="7D8C22A5">
        <w:rPr>
          <w:rFonts w:eastAsia="Times New Roman"/>
          <w:sz w:val="24"/>
          <w:szCs w:val="24"/>
          <w:lang w:val="en-GB" w:eastAsia="pl-PL"/>
        </w:rPr>
        <w:t>s</w:t>
      </w:r>
      <w:r w:rsidRPr="7D8C22A5">
        <w:rPr>
          <w:rFonts w:eastAsia="Times New Roman"/>
          <w:sz w:val="24"/>
          <w:szCs w:val="24"/>
          <w:lang w:val="en-GB" w:eastAsia="pl-PL"/>
        </w:rPr>
        <w:t xml:space="preserve"> the attractiveness of</w:t>
      </w:r>
      <w:r w:rsidR="7010CF5D" w:rsidRPr="7D8C22A5">
        <w:rPr>
          <w:rFonts w:eastAsia="Times New Roman"/>
          <w:sz w:val="24"/>
          <w:szCs w:val="24"/>
          <w:lang w:val="en-GB" w:eastAsia="pl-PL"/>
        </w:rPr>
        <w:t> </w:t>
      </w:r>
      <w:r w:rsidRPr="7D8C22A5">
        <w:rPr>
          <w:rFonts w:eastAsia="Times New Roman"/>
          <w:sz w:val="24"/>
          <w:szCs w:val="24"/>
          <w:lang w:val="en-GB" w:eastAsia="pl-PL"/>
        </w:rPr>
        <w:t xml:space="preserve">these areas for </w:t>
      </w:r>
      <w:r w:rsidR="26277DA4" w:rsidRPr="7D8C22A5">
        <w:rPr>
          <w:rFonts w:eastAsia="Times New Roman"/>
          <w:sz w:val="24"/>
          <w:szCs w:val="24"/>
          <w:lang w:val="en-GB" w:eastAsia="pl-PL"/>
        </w:rPr>
        <w:t xml:space="preserve">business, </w:t>
      </w:r>
      <w:r w:rsidRPr="7D8C22A5">
        <w:rPr>
          <w:rFonts w:eastAsia="Times New Roman"/>
          <w:sz w:val="24"/>
          <w:szCs w:val="24"/>
          <w:lang w:val="en-GB" w:eastAsia="pl-PL"/>
        </w:rPr>
        <w:t>residents, tourists and investors.</w:t>
      </w:r>
      <w:r w:rsidR="7010CF5D" w:rsidRPr="7D8C22A5">
        <w:rPr>
          <w:rFonts w:eastAsia="Times New Roman"/>
          <w:sz w:val="24"/>
          <w:szCs w:val="24"/>
          <w:lang w:val="en-GB" w:eastAsia="pl-PL"/>
        </w:rPr>
        <w:t xml:space="preserve"> </w:t>
      </w:r>
      <w:r w:rsidR="0CB23E85" w:rsidRPr="7D8C22A5">
        <w:rPr>
          <w:rFonts w:eastAsia="Times New Roman"/>
          <w:sz w:val="24"/>
          <w:szCs w:val="24"/>
          <w:lang w:val="en-GB" w:eastAsia="pl-PL"/>
        </w:rPr>
        <w:t>D</w:t>
      </w:r>
      <w:r w:rsidR="0DF7540D" w:rsidRPr="7D8C22A5">
        <w:rPr>
          <w:rFonts w:eastAsia="Times New Roman"/>
          <w:sz w:val="24"/>
          <w:szCs w:val="24"/>
          <w:lang w:val="en-GB" w:eastAsia="pl-PL"/>
        </w:rPr>
        <w:t>ecline in security, quality of life, slowdown in economic growth and depopulation threaten the EU's cohesion and prospects for social and economic development, especially in regions and countries with lower economic potential</w:t>
      </w:r>
      <w:r w:rsidR="2255A635" w:rsidRPr="7D8C22A5">
        <w:rPr>
          <w:rFonts w:eastAsia="Times New Roman"/>
          <w:sz w:val="24"/>
          <w:szCs w:val="24"/>
          <w:lang w:val="en-GB" w:eastAsia="pl-PL"/>
        </w:rPr>
        <w:t xml:space="preserve"> bordering aggressor countries.</w:t>
      </w:r>
      <w:r w:rsidR="0DF7540D" w:rsidRPr="7D8C22A5">
        <w:rPr>
          <w:rFonts w:eastAsia="Times New Roman"/>
          <w:sz w:val="24"/>
          <w:szCs w:val="24"/>
          <w:lang w:val="en-GB" w:eastAsia="pl-PL"/>
        </w:rPr>
        <w:t xml:space="preserve"> </w:t>
      </w:r>
    </w:p>
    <w:p w14:paraId="75406F1F" w14:textId="44EFF164" w:rsidR="00C0720F" w:rsidRPr="00DE2A1D" w:rsidRDefault="091CCC7E" w:rsidP="00CA5E9E">
      <w:pPr>
        <w:spacing w:after="120" w:line="276" w:lineRule="auto"/>
        <w:jc w:val="both"/>
        <w:rPr>
          <w:rFonts w:eastAsia="Times New Roman"/>
          <w:sz w:val="24"/>
          <w:szCs w:val="24"/>
          <w:lang w:val="en-GB" w:eastAsia="pl-PL"/>
        </w:rPr>
      </w:pPr>
      <w:r w:rsidRPr="1BDE7D2D">
        <w:rPr>
          <w:rFonts w:eastAsia="Times New Roman"/>
          <w:sz w:val="24"/>
          <w:szCs w:val="24"/>
          <w:lang w:val="en-GB" w:eastAsia="pl-PL"/>
        </w:rPr>
        <w:t xml:space="preserve">Cohesion </w:t>
      </w:r>
      <w:r w:rsidR="3E2FB02A" w:rsidRPr="1BDE7D2D">
        <w:rPr>
          <w:rFonts w:eastAsia="Times New Roman"/>
          <w:sz w:val="24"/>
          <w:szCs w:val="24"/>
          <w:lang w:val="en-GB" w:eastAsia="pl-PL"/>
        </w:rPr>
        <w:t>P</w:t>
      </w:r>
      <w:r w:rsidRPr="1BDE7D2D">
        <w:rPr>
          <w:rFonts w:eastAsia="Times New Roman"/>
          <w:sz w:val="24"/>
          <w:szCs w:val="24"/>
          <w:lang w:val="en-GB" w:eastAsia="pl-PL"/>
        </w:rPr>
        <w:t xml:space="preserve">olicy has the ambition to continue to play a key role in addressing socio-economic challenges and </w:t>
      </w:r>
      <w:r w:rsidR="3E2FB02A" w:rsidRPr="1BDE7D2D">
        <w:rPr>
          <w:rFonts w:eastAsia="Times New Roman"/>
          <w:sz w:val="24"/>
          <w:szCs w:val="24"/>
          <w:lang w:val="en-GB" w:eastAsia="pl-PL"/>
        </w:rPr>
        <w:t xml:space="preserve">ensuring that </w:t>
      </w:r>
      <w:r w:rsidRPr="1BDE7D2D">
        <w:rPr>
          <w:rFonts w:eastAsia="Times New Roman"/>
          <w:sz w:val="24"/>
          <w:szCs w:val="24"/>
          <w:lang w:val="en-GB" w:eastAsia="pl-PL"/>
        </w:rPr>
        <w:t xml:space="preserve">all EU regions </w:t>
      </w:r>
      <w:r w:rsidR="3E2FB02A" w:rsidRPr="1BDE7D2D">
        <w:rPr>
          <w:rFonts w:eastAsia="Times New Roman"/>
          <w:sz w:val="24"/>
          <w:szCs w:val="24"/>
          <w:lang w:val="en-GB" w:eastAsia="pl-PL"/>
        </w:rPr>
        <w:t xml:space="preserve">remain </w:t>
      </w:r>
      <w:r w:rsidRPr="1BDE7D2D">
        <w:rPr>
          <w:rFonts w:eastAsia="Times New Roman"/>
          <w:sz w:val="24"/>
          <w:szCs w:val="24"/>
          <w:lang w:val="en-GB" w:eastAsia="pl-PL"/>
        </w:rPr>
        <w:t xml:space="preserve">strong and resilient. Member States and regions are making efforts during the mid-term review of the 2021-2027 </w:t>
      </w:r>
      <w:r w:rsidR="3E2FB02A" w:rsidRPr="1BDE7D2D">
        <w:rPr>
          <w:rFonts w:eastAsia="Times New Roman"/>
          <w:sz w:val="24"/>
          <w:szCs w:val="24"/>
          <w:lang w:val="en-GB" w:eastAsia="pl-PL"/>
        </w:rPr>
        <w:t>C</w:t>
      </w:r>
      <w:r w:rsidRPr="1BDE7D2D">
        <w:rPr>
          <w:rFonts w:eastAsia="Times New Roman"/>
          <w:sz w:val="24"/>
          <w:szCs w:val="24"/>
          <w:lang w:val="en-GB" w:eastAsia="pl-PL"/>
        </w:rPr>
        <w:t xml:space="preserve">ohesion </w:t>
      </w:r>
      <w:r w:rsidR="3E2FB02A" w:rsidRPr="1BDE7D2D">
        <w:rPr>
          <w:rFonts w:eastAsia="Times New Roman"/>
          <w:sz w:val="24"/>
          <w:szCs w:val="24"/>
          <w:lang w:val="en-GB" w:eastAsia="pl-PL"/>
        </w:rPr>
        <w:t>P</w:t>
      </w:r>
      <w:r w:rsidRPr="1BDE7D2D">
        <w:rPr>
          <w:rFonts w:eastAsia="Times New Roman"/>
          <w:sz w:val="24"/>
          <w:szCs w:val="24"/>
          <w:lang w:val="en-GB" w:eastAsia="pl-PL"/>
        </w:rPr>
        <w:t xml:space="preserve">olicy programmes to </w:t>
      </w:r>
      <w:r w:rsidR="376B26BA" w:rsidRPr="1BDE7D2D">
        <w:rPr>
          <w:rFonts w:eastAsia="Times New Roman"/>
          <w:sz w:val="24"/>
          <w:szCs w:val="24"/>
          <w:lang w:val="en-GB" w:eastAsia="pl-PL"/>
        </w:rPr>
        <w:t>re</w:t>
      </w:r>
      <w:r w:rsidRPr="1BDE7D2D">
        <w:rPr>
          <w:rFonts w:eastAsia="Times New Roman"/>
          <w:sz w:val="24"/>
          <w:szCs w:val="24"/>
          <w:lang w:val="en-GB" w:eastAsia="pl-PL"/>
        </w:rPr>
        <w:t xml:space="preserve">allocate funding to address challenges </w:t>
      </w:r>
      <w:r w:rsidR="3074AA80" w:rsidRPr="1BDE7D2D">
        <w:rPr>
          <w:rFonts w:eastAsia="Times New Roman"/>
          <w:sz w:val="24"/>
          <w:szCs w:val="24"/>
          <w:lang w:val="en-GB" w:eastAsia="pl-PL"/>
        </w:rPr>
        <w:t xml:space="preserve">specific to the </w:t>
      </w:r>
      <w:r w:rsidR="515C80C4" w:rsidRPr="1BDE7D2D">
        <w:rPr>
          <w:rFonts w:eastAsia="Times New Roman"/>
          <w:sz w:val="24"/>
          <w:szCs w:val="24"/>
          <w:lang w:val="en-GB" w:eastAsia="pl-PL"/>
        </w:rPr>
        <w:t>e</w:t>
      </w:r>
      <w:r w:rsidR="3074AA80" w:rsidRPr="1BDE7D2D">
        <w:rPr>
          <w:rFonts w:eastAsia="Times New Roman"/>
          <w:sz w:val="24"/>
          <w:szCs w:val="24"/>
          <w:lang w:val="en-GB" w:eastAsia="pl-PL"/>
        </w:rPr>
        <w:t xml:space="preserve">astern border regions, including for </w:t>
      </w:r>
      <w:r w:rsidR="463F46CB" w:rsidRPr="1BDE7D2D">
        <w:rPr>
          <w:rFonts w:eastAsia="Times New Roman"/>
          <w:sz w:val="24"/>
          <w:szCs w:val="24"/>
          <w:lang w:val="en-GB" w:eastAsia="pl-PL"/>
        </w:rPr>
        <w:t>s</w:t>
      </w:r>
      <w:r w:rsidRPr="1BDE7D2D">
        <w:rPr>
          <w:rFonts w:eastAsia="Times New Roman"/>
          <w:sz w:val="24"/>
          <w:szCs w:val="24"/>
          <w:lang w:val="en-GB" w:eastAsia="pl-PL"/>
        </w:rPr>
        <w:t xml:space="preserve">ecurity and defence. </w:t>
      </w:r>
    </w:p>
    <w:p w14:paraId="010E64E0" w14:textId="38ABBF3A" w:rsidR="00C0720F" w:rsidRPr="00DE2A1D" w:rsidRDefault="0F339DC7" w:rsidP="00CA5E9E">
      <w:pPr>
        <w:spacing w:after="120" w:line="276" w:lineRule="auto"/>
        <w:jc w:val="both"/>
        <w:rPr>
          <w:rFonts w:eastAsia="Times New Roman"/>
          <w:sz w:val="24"/>
          <w:szCs w:val="24"/>
          <w:lang w:val="en-GB" w:eastAsia="pl-PL"/>
        </w:rPr>
      </w:pPr>
      <w:r w:rsidRPr="1BDE7D2D">
        <w:rPr>
          <w:rFonts w:eastAsia="Times New Roman"/>
          <w:sz w:val="24"/>
          <w:szCs w:val="24"/>
          <w:lang w:val="en-GB" w:eastAsia="pl-PL"/>
        </w:rPr>
        <w:t xml:space="preserve">The European Commission has also recognized the need to support </w:t>
      </w:r>
      <w:r w:rsidR="3E88F327" w:rsidRPr="1BDE7D2D">
        <w:rPr>
          <w:rFonts w:eastAsia="Times New Roman"/>
          <w:sz w:val="24"/>
          <w:szCs w:val="24"/>
          <w:lang w:val="en-GB" w:eastAsia="pl-PL"/>
        </w:rPr>
        <w:t>e</w:t>
      </w:r>
      <w:r w:rsidR="60284A59" w:rsidRPr="1BDE7D2D">
        <w:rPr>
          <w:rFonts w:eastAsia="Times New Roman"/>
          <w:sz w:val="24"/>
          <w:szCs w:val="24"/>
          <w:lang w:val="en-GB" w:eastAsia="pl-PL"/>
        </w:rPr>
        <w:t xml:space="preserve">astern </w:t>
      </w:r>
      <w:r w:rsidRPr="1BDE7D2D">
        <w:rPr>
          <w:rFonts w:eastAsia="Times New Roman"/>
          <w:sz w:val="24"/>
          <w:szCs w:val="24"/>
          <w:lang w:val="en-GB" w:eastAsia="pl-PL"/>
        </w:rPr>
        <w:t xml:space="preserve">border regions by proposing </w:t>
      </w:r>
      <w:r w:rsidR="3E2FB02A" w:rsidRPr="1BDE7D2D">
        <w:rPr>
          <w:rFonts w:eastAsia="Times New Roman"/>
          <w:sz w:val="24"/>
          <w:szCs w:val="24"/>
          <w:lang w:val="en-GB" w:eastAsia="pl-PL"/>
        </w:rPr>
        <w:t xml:space="preserve">amendments </w:t>
      </w:r>
      <w:r w:rsidRPr="1BDE7D2D">
        <w:rPr>
          <w:rFonts w:eastAsia="Times New Roman"/>
          <w:sz w:val="24"/>
          <w:szCs w:val="24"/>
          <w:lang w:val="en-GB" w:eastAsia="pl-PL"/>
        </w:rPr>
        <w:t xml:space="preserve">to the regulations on </w:t>
      </w:r>
      <w:r w:rsidR="3E2FB02A" w:rsidRPr="1BDE7D2D">
        <w:rPr>
          <w:rFonts w:eastAsia="Times New Roman"/>
          <w:sz w:val="24"/>
          <w:szCs w:val="24"/>
          <w:lang w:val="en-GB" w:eastAsia="pl-PL"/>
        </w:rPr>
        <w:t>C</w:t>
      </w:r>
      <w:r w:rsidRPr="1BDE7D2D">
        <w:rPr>
          <w:rFonts w:eastAsia="Times New Roman"/>
          <w:sz w:val="24"/>
          <w:szCs w:val="24"/>
          <w:lang w:val="en-GB" w:eastAsia="pl-PL"/>
        </w:rPr>
        <w:t xml:space="preserve">ohesion </w:t>
      </w:r>
      <w:r w:rsidR="3E2FB02A" w:rsidRPr="1BDE7D2D">
        <w:rPr>
          <w:rFonts w:eastAsia="Times New Roman"/>
          <w:sz w:val="24"/>
          <w:szCs w:val="24"/>
          <w:lang w:val="en-GB" w:eastAsia="pl-PL"/>
        </w:rPr>
        <w:t>P</w:t>
      </w:r>
      <w:r w:rsidRPr="1BDE7D2D">
        <w:rPr>
          <w:rFonts w:eastAsia="Times New Roman"/>
          <w:sz w:val="24"/>
          <w:szCs w:val="24"/>
          <w:lang w:val="en-GB" w:eastAsia="pl-PL"/>
        </w:rPr>
        <w:t xml:space="preserve">olicy </w:t>
      </w:r>
      <w:r w:rsidR="4AAB2CDF" w:rsidRPr="1BDE7D2D">
        <w:rPr>
          <w:rFonts w:eastAsia="Times New Roman"/>
          <w:sz w:val="24"/>
          <w:szCs w:val="24"/>
          <w:lang w:val="en-GB" w:eastAsia="pl-PL"/>
        </w:rPr>
        <w:t xml:space="preserve">for </w:t>
      </w:r>
      <w:r w:rsidRPr="1BDE7D2D">
        <w:rPr>
          <w:rFonts w:eastAsia="Times New Roman"/>
          <w:sz w:val="24"/>
          <w:szCs w:val="24"/>
          <w:lang w:val="en-GB" w:eastAsia="pl-PL"/>
        </w:rPr>
        <w:t xml:space="preserve">2021-2027. The aim of these changes is to increase the effectiveness of </w:t>
      </w:r>
      <w:r w:rsidR="3E2FB02A" w:rsidRPr="1BDE7D2D">
        <w:rPr>
          <w:rFonts w:eastAsia="Times New Roman"/>
          <w:sz w:val="24"/>
          <w:szCs w:val="24"/>
          <w:lang w:val="en-GB" w:eastAsia="pl-PL"/>
        </w:rPr>
        <w:t>C</w:t>
      </w:r>
      <w:r w:rsidRPr="1BDE7D2D">
        <w:rPr>
          <w:rFonts w:eastAsia="Times New Roman"/>
          <w:sz w:val="24"/>
          <w:szCs w:val="24"/>
          <w:lang w:val="en-GB" w:eastAsia="pl-PL"/>
        </w:rPr>
        <w:t xml:space="preserve">ohesion </w:t>
      </w:r>
      <w:r w:rsidR="3E2FB02A" w:rsidRPr="1BDE7D2D">
        <w:rPr>
          <w:rFonts w:eastAsia="Times New Roman"/>
          <w:sz w:val="24"/>
          <w:szCs w:val="24"/>
          <w:lang w:val="en-GB" w:eastAsia="pl-PL"/>
        </w:rPr>
        <w:t>P</w:t>
      </w:r>
      <w:r w:rsidRPr="1BDE7D2D">
        <w:rPr>
          <w:rFonts w:eastAsia="Times New Roman"/>
          <w:sz w:val="24"/>
          <w:szCs w:val="24"/>
          <w:lang w:val="en-GB" w:eastAsia="pl-PL"/>
        </w:rPr>
        <w:t xml:space="preserve">olicy by encouraging </w:t>
      </w:r>
      <w:r w:rsidR="6E401751" w:rsidRPr="1BDE7D2D">
        <w:rPr>
          <w:rFonts w:eastAsia="Times New Roman"/>
          <w:sz w:val="24"/>
          <w:szCs w:val="24"/>
          <w:lang w:val="en-GB" w:eastAsia="pl-PL"/>
        </w:rPr>
        <w:t xml:space="preserve">the </w:t>
      </w:r>
      <w:r w:rsidRPr="1BDE7D2D">
        <w:rPr>
          <w:rFonts w:eastAsia="Times New Roman"/>
          <w:sz w:val="24"/>
          <w:szCs w:val="24"/>
          <w:lang w:val="en-GB" w:eastAsia="pl-PL"/>
        </w:rPr>
        <w:t>Member States and regions to invest in</w:t>
      </w:r>
      <w:r w:rsidR="6E401751" w:rsidRPr="1BDE7D2D">
        <w:rPr>
          <w:rFonts w:eastAsia="Times New Roman"/>
          <w:sz w:val="24"/>
          <w:szCs w:val="24"/>
          <w:lang w:val="en-GB" w:eastAsia="pl-PL"/>
        </w:rPr>
        <w:t> </w:t>
      </w:r>
      <w:r w:rsidRPr="1BDE7D2D">
        <w:rPr>
          <w:rFonts w:eastAsia="Times New Roman"/>
          <w:sz w:val="24"/>
          <w:szCs w:val="24"/>
          <w:lang w:val="en-GB" w:eastAsia="pl-PL"/>
        </w:rPr>
        <w:t>European strategic priorities</w:t>
      </w:r>
      <w:r w:rsidR="79E3BBB1" w:rsidRPr="1BDE7D2D">
        <w:rPr>
          <w:rFonts w:eastAsia="Times New Roman"/>
          <w:sz w:val="24"/>
          <w:szCs w:val="24"/>
          <w:lang w:val="en-GB" w:eastAsia="pl-PL"/>
        </w:rPr>
        <w:t>,</w:t>
      </w:r>
      <w:r w:rsidR="00CA5E9E">
        <w:rPr>
          <w:rFonts w:eastAsia="Times New Roman"/>
          <w:sz w:val="24"/>
          <w:szCs w:val="24"/>
          <w:lang w:val="en-GB" w:eastAsia="pl-PL"/>
        </w:rPr>
        <w:t xml:space="preserve"> </w:t>
      </w:r>
      <w:r w:rsidRPr="1BDE7D2D">
        <w:rPr>
          <w:rFonts w:eastAsia="Times New Roman"/>
          <w:sz w:val="24"/>
          <w:szCs w:val="24"/>
          <w:lang w:val="en-GB" w:eastAsia="pl-PL"/>
        </w:rPr>
        <w:t xml:space="preserve">including those related to defence capabilities and security, while maintaining the focus of </w:t>
      </w:r>
      <w:r w:rsidR="3E2FB02A" w:rsidRPr="1BDE7D2D">
        <w:rPr>
          <w:rFonts w:eastAsia="Times New Roman"/>
          <w:sz w:val="24"/>
          <w:szCs w:val="24"/>
          <w:lang w:val="en-GB" w:eastAsia="pl-PL"/>
        </w:rPr>
        <w:t>C</w:t>
      </w:r>
      <w:r w:rsidRPr="1BDE7D2D">
        <w:rPr>
          <w:rFonts w:eastAsia="Times New Roman"/>
          <w:sz w:val="24"/>
          <w:szCs w:val="24"/>
          <w:lang w:val="en-GB" w:eastAsia="pl-PL"/>
        </w:rPr>
        <w:t xml:space="preserve">ohesion </w:t>
      </w:r>
      <w:r w:rsidR="3E2FB02A" w:rsidRPr="1BDE7D2D">
        <w:rPr>
          <w:rFonts w:eastAsia="Times New Roman"/>
          <w:sz w:val="24"/>
          <w:szCs w:val="24"/>
          <w:lang w:val="en-GB" w:eastAsia="pl-PL"/>
        </w:rPr>
        <w:t>P</w:t>
      </w:r>
      <w:r w:rsidRPr="1BDE7D2D">
        <w:rPr>
          <w:rFonts w:eastAsia="Times New Roman"/>
          <w:sz w:val="24"/>
          <w:szCs w:val="24"/>
          <w:lang w:val="en-GB" w:eastAsia="pl-PL"/>
        </w:rPr>
        <w:t>olicy on reducing economic, social</w:t>
      </w:r>
      <w:r w:rsidR="2A33CD8D" w:rsidRPr="1BDE7D2D">
        <w:rPr>
          <w:rFonts w:eastAsia="Times New Roman"/>
          <w:sz w:val="24"/>
          <w:szCs w:val="24"/>
          <w:lang w:val="en-GB" w:eastAsia="pl-PL"/>
        </w:rPr>
        <w:t>,</w:t>
      </w:r>
      <w:r w:rsidRPr="1BDE7D2D">
        <w:rPr>
          <w:rFonts w:eastAsia="Times New Roman"/>
          <w:sz w:val="24"/>
          <w:szCs w:val="24"/>
          <w:lang w:val="en-GB" w:eastAsia="pl-PL"/>
        </w:rPr>
        <w:t xml:space="preserve"> and territorial disparities. </w:t>
      </w:r>
      <w:r w:rsidR="6E401751" w:rsidRPr="1BDE7D2D">
        <w:rPr>
          <w:rFonts w:eastAsia="Times New Roman"/>
          <w:sz w:val="24"/>
          <w:szCs w:val="24"/>
          <w:lang w:val="en-GB" w:eastAsia="pl-PL"/>
        </w:rPr>
        <w:t xml:space="preserve">The </w:t>
      </w:r>
      <w:r w:rsidRPr="1BDE7D2D">
        <w:rPr>
          <w:rFonts w:eastAsia="Times New Roman"/>
          <w:sz w:val="24"/>
          <w:szCs w:val="24"/>
          <w:lang w:val="en-GB" w:eastAsia="pl-PL"/>
        </w:rPr>
        <w:t xml:space="preserve">Member States </w:t>
      </w:r>
      <w:r w:rsidR="530297A1" w:rsidRPr="1BDE7D2D">
        <w:rPr>
          <w:rFonts w:eastAsia="Times New Roman"/>
          <w:sz w:val="24"/>
          <w:szCs w:val="24"/>
          <w:lang w:val="en-GB" w:eastAsia="pl-PL"/>
        </w:rPr>
        <w:t xml:space="preserve">can </w:t>
      </w:r>
      <w:r w:rsidRPr="1BDE7D2D">
        <w:rPr>
          <w:rFonts w:eastAsia="Times New Roman"/>
          <w:sz w:val="24"/>
          <w:szCs w:val="24"/>
          <w:lang w:val="en-GB" w:eastAsia="pl-PL"/>
        </w:rPr>
        <w:t xml:space="preserve">reprogramme part of their cohesion funds for new investments in the context of the ongoing mid-term review of </w:t>
      </w:r>
      <w:r w:rsidR="3E2FB02A" w:rsidRPr="1BDE7D2D">
        <w:rPr>
          <w:rFonts w:eastAsia="Times New Roman"/>
          <w:sz w:val="24"/>
          <w:szCs w:val="24"/>
          <w:lang w:val="en-GB" w:eastAsia="pl-PL"/>
        </w:rPr>
        <w:t>C</w:t>
      </w:r>
      <w:r w:rsidRPr="1BDE7D2D">
        <w:rPr>
          <w:rFonts w:eastAsia="Times New Roman"/>
          <w:sz w:val="24"/>
          <w:szCs w:val="24"/>
          <w:lang w:val="en-GB" w:eastAsia="pl-PL"/>
        </w:rPr>
        <w:t xml:space="preserve">ohesion </w:t>
      </w:r>
      <w:r w:rsidR="3E2FB02A" w:rsidRPr="1BDE7D2D">
        <w:rPr>
          <w:rFonts w:eastAsia="Times New Roman"/>
          <w:sz w:val="24"/>
          <w:szCs w:val="24"/>
          <w:lang w:val="en-GB" w:eastAsia="pl-PL"/>
        </w:rPr>
        <w:t>P</w:t>
      </w:r>
      <w:r w:rsidRPr="1BDE7D2D">
        <w:rPr>
          <w:rFonts w:eastAsia="Times New Roman"/>
          <w:sz w:val="24"/>
          <w:szCs w:val="24"/>
          <w:lang w:val="en-GB" w:eastAsia="pl-PL"/>
        </w:rPr>
        <w:t xml:space="preserve">olicy. </w:t>
      </w:r>
      <w:r w:rsidR="200F6248" w:rsidRPr="1BDE7D2D">
        <w:rPr>
          <w:rFonts w:eastAsia="Times New Roman"/>
          <w:sz w:val="24"/>
          <w:szCs w:val="24"/>
          <w:lang w:val="en-GB" w:eastAsia="pl-PL"/>
        </w:rPr>
        <w:t xml:space="preserve">For EU’s eastern borders </w:t>
      </w:r>
      <w:r w:rsidRPr="1BDE7D2D">
        <w:rPr>
          <w:rFonts w:eastAsia="Times New Roman"/>
          <w:sz w:val="24"/>
          <w:szCs w:val="24"/>
          <w:lang w:val="en-GB" w:eastAsia="pl-PL"/>
        </w:rPr>
        <w:t xml:space="preserve">regions, additional flexibility has been proposed. </w:t>
      </w:r>
    </w:p>
    <w:p w14:paraId="3D1C9813" w14:textId="573F97E1" w:rsidR="00800101" w:rsidRDefault="1FF3E9D7" w:rsidP="00CA5E9E">
      <w:pPr>
        <w:spacing w:after="120" w:line="276" w:lineRule="auto"/>
        <w:jc w:val="both"/>
        <w:rPr>
          <w:rFonts w:eastAsia="Times New Roman"/>
          <w:sz w:val="24"/>
          <w:szCs w:val="24"/>
          <w:lang w:val="en-GB" w:eastAsia="pl-PL"/>
        </w:rPr>
      </w:pPr>
      <w:r w:rsidRPr="1BDE7D2D">
        <w:rPr>
          <w:rFonts w:eastAsia="Times New Roman"/>
          <w:sz w:val="24"/>
          <w:szCs w:val="24"/>
          <w:lang w:val="en-GB" w:eastAsia="pl-PL"/>
        </w:rPr>
        <w:t>T</w:t>
      </w:r>
      <w:r w:rsidR="0F339DC7" w:rsidRPr="00CA5E9E">
        <w:rPr>
          <w:rFonts w:eastAsia="Times New Roman"/>
          <w:sz w:val="24"/>
          <w:szCs w:val="24"/>
          <w:lang w:val="en-GB" w:eastAsia="pl-PL"/>
        </w:rPr>
        <w:t xml:space="preserve">he </w:t>
      </w:r>
      <w:r w:rsidR="40C665C5" w:rsidRPr="1BDE7D2D">
        <w:rPr>
          <w:rFonts w:eastAsia="Times New Roman"/>
          <w:sz w:val="24"/>
          <w:szCs w:val="24"/>
          <w:lang w:val="en-GB" w:eastAsia="pl-PL"/>
        </w:rPr>
        <w:t xml:space="preserve">Cohesion policy </w:t>
      </w:r>
      <w:r w:rsidR="0F339DC7" w:rsidRPr="00CA5E9E">
        <w:rPr>
          <w:rFonts w:eastAsia="Times New Roman"/>
          <w:sz w:val="24"/>
          <w:szCs w:val="24"/>
          <w:lang w:val="en-GB" w:eastAsia="pl-PL"/>
        </w:rPr>
        <w:t xml:space="preserve">programmes implemented </w:t>
      </w:r>
      <w:r w:rsidR="0DF8A057" w:rsidRPr="1BDE7D2D">
        <w:rPr>
          <w:rFonts w:eastAsia="Times New Roman"/>
          <w:sz w:val="24"/>
          <w:szCs w:val="24"/>
          <w:lang w:val="en-GB" w:eastAsia="pl-PL"/>
        </w:rPr>
        <w:t xml:space="preserve">in the </w:t>
      </w:r>
      <w:r w:rsidR="1BDE7D2D" w:rsidRPr="00CA5E9E">
        <w:rPr>
          <w:rFonts w:eastAsia="Times New Roman"/>
          <w:sz w:val="24"/>
          <w:szCs w:val="24"/>
          <w:lang w:val="en-US" w:eastAsia="pl-PL"/>
        </w:rPr>
        <w:t>new financial perspective after 2027</w:t>
      </w:r>
      <w:r w:rsidR="7171EA51" w:rsidRPr="1BDE7D2D">
        <w:rPr>
          <w:rFonts w:eastAsia="Times New Roman"/>
          <w:b/>
          <w:bCs/>
          <w:sz w:val="24"/>
          <w:szCs w:val="24"/>
          <w:lang w:val="en-US" w:eastAsia="pl-PL"/>
        </w:rPr>
        <w:t xml:space="preserve"> </w:t>
      </w:r>
      <w:r w:rsidR="355CA349" w:rsidRPr="1BDE7D2D">
        <w:rPr>
          <w:rFonts w:eastAsia="Times New Roman"/>
          <w:sz w:val="24"/>
          <w:szCs w:val="24"/>
          <w:lang w:val="en-GB" w:eastAsia="pl-PL"/>
        </w:rPr>
        <w:t>should become a key sourc</w:t>
      </w:r>
      <w:r w:rsidR="50FB871A" w:rsidRPr="1BDE7D2D">
        <w:rPr>
          <w:rFonts w:eastAsia="Times New Roman"/>
          <w:sz w:val="24"/>
          <w:szCs w:val="24"/>
          <w:lang w:val="en-GB" w:eastAsia="pl-PL"/>
        </w:rPr>
        <w:t xml:space="preserve">e </w:t>
      </w:r>
      <w:r w:rsidR="1BDE7D2D" w:rsidRPr="1BDE7D2D">
        <w:rPr>
          <w:rFonts w:eastAsia="Times New Roman"/>
          <w:sz w:val="24"/>
          <w:szCs w:val="24"/>
          <w:lang w:val="en-GB" w:eastAsia="pl-PL"/>
        </w:rPr>
        <w:t>of financing investments in the areas of security, resilience and competitiveness of the EU’s regions bordering Russia, Belarus, and Ukraine.</w:t>
      </w:r>
    </w:p>
    <w:p w14:paraId="6FD07011" w14:textId="38DF9100" w:rsidR="00CA5E9E" w:rsidRDefault="00CA5E9E">
      <w:pPr>
        <w:rPr>
          <w:rFonts w:eastAsia="Times New Roman"/>
          <w:sz w:val="24"/>
          <w:szCs w:val="24"/>
          <w:lang w:val="en-GB" w:eastAsia="pl-PL"/>
        </w:rPr>
      </w:pPr>
      <w:r>
        <w:rPr>
          <w:rFonts w:eastAsia="Times New Roman"/>
          <w:sz w:val="24"/>
          <w:szCs w:val="24"/>
          <w:lang w:val="en-GB" w:eastAsia="pl-PL"/>
        </w:rPr>
        <w:br w:type="page"/>
      </w:r>
    </w:p>
    <w:p w14:paraId="41235AB9" w14:textId="3B9E0982" w:rsidR="00CA5E9E" w:rsidRDefault="00CA5E9E" w:rsidP="00CA5E9E">
      <w:pPr>
        <w:spacing w:after="120" w:line="276" w:lineRule="auto"/>
        <w:jc w:val="both"/>
        <w:rPr>
          <w:rFonts w:eastAsia="Times New Roman"/>
          <w:sz w:val="24"/>
          <w:szCs w:val="24"/>
          <w:lang w:val="en-GB" w:eastAsia="pl-PL"/>
        </w:rPr>
      </w:pPr>
      <w:r>
        <w:rPr>
          <w:rFonts w:eastAsia="Times New Roman"/>
          <w:sz w:val="24"/>
          <w:szCs w:val="24"/>
          <w:lang w:val="en-GB" w:eastAsia="pl-PL"/>
        </w:rPr>
        <w:lastRenderedPageBreak/>
        <w:t>Against this background p</w:t>
      </w:r>
      <w:r w:rsidRPr="1BDE7D2D">
        <w:rPr>
          <w:rFonts w:eastAsia="Times New Roman"/>
          <w:sz w:val="24"/>
          <w:szCs w:val="24"/>
          <w:lang w:val="en-GB" w:eastAsia="pl-PL"/>
        </w:rPr>
        <w:t>articipants are invited to share their views on the following questions:</w:t>
      </w:r>
    </w:p>
    <w:p w14:paraId="045C3517" w14:textId="64CDE9F8" w:rsidR="00CA5E9E" w:rsidRDefault="00CA5E9E" w:rsidP="00CA5E9E">
      <w:pPr>
        <w:pStyle w:val="Akapitzlist"/>
        <w:numPr>
          <w:ilvl w:val="0"/>
          <w:numId w:val="17"/>
        </w:numPr>
        <w:spacing w:after="120" w:line="276" w:lineRule="auto"/>
        <w:jc w:val="both"/>
        <w:rPr>
          <w:rFonts w:eastAsia="Times New Roman"/>
          <w:sz w:val="24"/>
          <w:szCs w:val="24"/>
          <w:lang w:val="en-GB" w:eastAsia="pl-PL"/>
        </w:rPr>
      </w:pPr>
      <w:r w:rsidRPr="00CA5E9E">
        <w:rPr>
          <w:rFonts w:eastAsia="Times New Roman"/>
          <w:sz w:val="24"/>
          <w:szCs w:val="24"/>
          <w:lang w:val="en-GB" w:eastAsia="pl-PL"/>
        </w:rPr>
        <w:t xml:space="preserve">Which are the main challenges that </w:t>
      </w:r>
      <w:r w:rsidR="00272923">
        <w:rPr>
          <w:rFonts w:eastAsia="Times New Roman"/>
          <w:sz w:val="24"/>
          <w:szCs w:val="24"/>
          <w:lang w:val="en-GB" w:eastAsia="pl-PL"/>
        </w:rPr>
        <w:t>Eastern border regions</w:t>
      </w:r>
      <w:r w:rsidR="00272923" w:rsidRPr="00CA5E9E">
        <w:rPr>
          <w:rFonts w:eastAsia="Times New Roman"/>
          <w:sz w:val="24"/>
          <w:szCs w:val="24"/>
          <w:lang w:val="en-GB" w:eastAsia="pl-PL"/>
        </w:rPr>
        <w:t xml:space="preserve"> </w:t>
      </w:r>
      <w:r w:rsidRPr="00CA5E9E">
        <w:rPr>
          <w:rFonts w:eastAsia="Times New Roman"/>
          <w:sz w:val="24"/>
          <w:szCs w:val="24"/>
          <w:lang w:val="en-GB" w:eastAsia="pl-PL"/>
        </w:rPr>
        <w:t xml:space="preserve">face </w:t>
      </w:r>
      <w:r w:rsidRPr="7D8C22A5">
        <w:rPr>
          <w:rFonts w:eastAsia="Times New Roman"/>
          <w:sz w:val="24"/>
          <w:szCs w:val="24"/>
          <w:lang w:val="en-GB" w:eastAsia="pl-PL"/>
        </w:rPr>
        <w:t>because of</w:t>
      </w:r>
      <w:r w:rsidRPr="00CA5E9E">
        <w:rPr>
          <w:rFonts w:eastAsia="Times New Roman"/>
          <w:sz w:val="24"/>
          <w:szCs w:val="24"/>
          <w:lang w:val="en-GB" w:eastAsia="pl-PL"/>
        </w:rPr>
        <w:t xml:space="preserve"> the Russian invasion of Ukraine and the sanctions imposed on Russia and Belarus?</w:t>
      </w:r>
    </w:p>
    <w:p w14:paraId="606D6A93" w14:textId="77777777" w:rsidR="00CA5E9E" w:rsidRPr="00CA5E9E" w:rsidRDefault="00CA5E9E" w:rsidP="00CA5E9E">
      <w:pPr>
        <w:pStyle w:val="Akapitzlist"/>
        <w:spacing w:after="120" w:line="276" w:lineRule="auto"/>
        <w:jc w:val="both"/>
        <w:rPr>
          <w:rFonts w:eastAsia="Times New Roman" w:cstheme="minorHAnsi"/>
          <w:sz w:val="24"/>
          <w:szCs w:val="24"/>
          <w:lang w:val="en-GB" w:eastAsia="pl-PL"/>
        </w:rPr>
      </w:pPr>
    </w:p>
    <w:p w14:paraId="359D696E" w14:textId="4689F3EF" w:rsidR="00CA5E9E" w:rsidRPr="00CA5E9E" w:rsidRDefault="00CA5E9E" w:rsidP="00CA5E9E">
      <w:pPr>
        <w:pStyle w:val="Akapitzlist"/>
        <w:numPr>
          <w:ilvl w:val="0"/>
          <w:numId w:val="17"/>
        </w:numPr>
        <w:spacing w:after="120" w:line="276" w:lineRule="auto"/>
        <w:jc w:val="both"/>
        <w:rPr>
          <w:rFonts w:eastAsia="Times New Roman"/>
          <w:lang w:val="en-GB" w:eastAsia="pl-PL"/>
        </w:rPr>
      </w:pPr>
      <w:r w:rsidRPr="1BDE7D2D">
        <w:rPr>
          <w:rFonts w:eastAsia="Times New Roman"/>
          <w:sz w:val="24"/>
          <w:szCs w:val="24"/>
          <w:lang w:val="en-GB" w:eastAsia="pl-PL"/>
        </w:rPr>
        <w:t>H</w:t>
      </w:r>
      <w:r w:rsidRPr="00CA5E9E">
        <w:rPr>
          <w:rFonts w:eastAsia="Times New Roman"/>
          <w:sz w:val="24"/>
          <w:szCs w:val="24"/>
          <w:lang w:val="en-GB" w:eastAsia="pl-PL"/>
        </w:rPr>
        <w:t xml:space="preserve">ow can Cohesion Policy respond to </w:t>
      </w:r>
      <w:r w:rsidRPr="1BDE7D2D">
        <w:rPr>
          <w:rFonts w:eastAsia="Times New Roman"/>
          <w:sz w:val="24"/>
          <w:szCs w:val="24"/>
          <w:lang w:val="en-GB" w:eastAsia="pl-PL"/>
        </w:rPr>
        <w:t xml:space="preserve">current and future </w:t>
      </w:r>
      <w:r w:rsidRPr="00CA5E9E">
        <w:rPr>
          <w:rFonts w:eastAsia="Times New Roman"/>
          <w:sz w:val="24"/>
          <w:szCs w:val="24"/>
          <w:lang w:val="en-GB" w:eastAsia="pl-PL"/>
        </w:rPr>
        <w:t>challenges facing the regions bordering Russia, Belarus</w:t>
      </w:r>
      <w:r w:rsidR="00272923">
        <w:rPr>
          <w:rFonts w:eastAsia="Times New Roman"/>
          <w:sz w:val="24"/>
          <w:szCs w:val="24"/>
          <w:lang w:val="en-GB" w:eastAsia="pl-PL"/>
        </w:rPr>
        <w:t xml:space="preserve"> on one hand</w:t>
      </w:r>
      <w:r w:rsidRPr="00CA5E9E">
        <w:rPr>
          <w:rFonts w:eastAsia="Times New Roman"/>
          <w:sz w:val="24"/>
          <w:szCs w:val="24"/>
          <w:lang w:val="en-GB" w:eastAsia="pl-PL"/>
        </w:rPr>
        <w:t xml:space="preserve"> and Ukraine</w:t>
      </w:r>
      <w:r w:rsidR="00272923">
        <w:rPr>
          <w:rFonts w:eastAsia="Times New Roman"/>
          <w:sz w:val="24"/>
          <w:szCs w:val="24"/>
          <w:lang w:val="en-GB" w:eastAsia="pl-PL"/>
        </w:rPr>
        <w:t xml:space="preserve"> on the other</w:t>
      </w:r>
      <w:r w:rsidRPr="00CA5E9E">
        <w:rPr>
          <w:rFonts w:eastAsia="Times New Roman"/>
          <w:sz w:val="24"/>
          <w:szCs w:val="24"/>
          <w:lang w:val="en-GB" w:eastAsia="pl-PL"/>
        </w:rPr>
        <w:t>?</w:t>
      </w:r>
      <w:r w:rsidR="00272923">
        <w:rPr>
          <w:rFonts w:eastAsia="Times New Roman"/>
          <w:sz w:val="24"/>
          <w:szCs w:val="24"/>
          <w:lang w:val="en-GB" w:eastAsia="pl-PL"/>
        </w:rPr>
        <w:t xml:space="preserve"> Which changes are possible in the short term and which in the longer term?</w:t>
      </w:r>
      <w:r w:rsidRPr="00CA5E9E">
        <w:rPr>
          <w:rFonts w:eastAsia="Times New Roman"/>
          <w:sz w:val="24"/>
          <w:szCs w:val="24"/>
          <w:lang w:val="en-GB" w:eastAsia="pl-PL"/>
        </w:rPr>
        <w:t xml:space="preserve"> </w:t>
      </w:r>
    </w:p>
    <w:p w14:paraId="72E283A4" w14:textId="77777777" w:rsidR="00CA5E9E" w:rsidRPr="00CA5E9E" w:rsidRDefault="00CA5E9E" w:rsidP="00CA5E9E">
      <w:pPr>
        <w:pStyle w:val="Akapitzlist"/>
        <w:rPr>
          <w:rFonts w:eastAsia="Times New Roman"/>
          <w:sz w:val="24"/>
          <w:szCs w:val="24"/>
          <w:lang w:val="en-GB" w:eastAsia="pl-PL"/>
        </w:rPr>
      </w:pPr>
    </w:p>
    <w:p w14:paraId="609E8495" w14:textId="6C0C797C" w:rsidR="00CA5E9E" w:rsidRDefault="00CA5E9E" w:rsidP="00CA5E9E">
      <w:pPr>
        <w:pStyle w:val="Akapitzlist"/>
        <w:spacing w:after="120" w:line="276" w:lineRule="auto"/>
        <w:jc w:val="both"/>
        <w:rPr>
          <w:rFonts w:eastAsia="Times New Roman"/>
          <w:sz w:val="24"/>
          <w:szCs w:val="24"/>
          <w:lang w:val="en-GB" w:eastAsia="pl-PL"/>
        </w:rPr>
      </w:pPr>
      <w:r w:rsidRPr="1BDE7D2D">
        <w:rPr>
          <w:rFonts w:eastAsia="Times New Roman"/>
          <w:sz w:val="24"/>
          <w:szCs w:val="24"/>
          <w:lang w:val="en-GB" w:eastAsia="pl-PL"/>
        </w:rPr>
        <w:t>In particular</w:t>
      </w:r>
      <w:r>
        <w:rPr>
          <w:rFonts w:eastAsia="Times New Roman"/>
          <w:sz w:val="24"/>
          <w:szCs w:val="24"/>
          <w:lang w:val="en-GB" w:eastAsia="pl-PL"/>
        </w:rPr>
        <w:t>:</w:t>
      </w:r>
    </w:p>
    <w:p w14:paraId="4D942666" w14:textId="77777777" w:rsidR="00CA5E9E" w:rsidRDefault="00CA5E9E" w:rsidP="00CA5E9E">
      <w:pPr>
        <w:pStyle w:val="Akapitzlist"/>
        <w:spacing w:after="120" w:line="276" w:lineRule="auto"/>
        <w:jc w:val="both"/>
        <w:rPr>
          <w:rFonts w:eastAsia="Times New Roman"/>
          <w:lang w:val="en-GB" w:eastAsia="pl-PL"/>
        </w:rPr>
      </w:pPr>
    </w:p>
    <w:p w14:paraId="3C5139A5" w14:textId="1CC9E1C5" w:rsidR="00CA5E9E" w:rsidRPr="00CA5E9E" w:rsidRDefault="00CA5E9E" w:rsidP="00CA5E9E">
      <w:pPr>
        <w:pStyle w:val="Akapitzlist"/>
        <w:numPr>
          <w:ilvl w:val="0"/>
          <w:numId w:val="18"/>
        </w:numPr>
        <w:spacing w:after="120" w:line="276" w:lineRule="auto"/>
        <w:jc w:val="both"/>
        <w:rPr>
          <w:rFonts w:eastAsia="Times New Roman"/>
          <w:lang w:val="en-GB" w:eastAsia="pl-PL"/>
        </w:rPr>
      </w:pPr>
      <w:r w:rsidRPr="1BDE7D2D">
        <w:rPr>
          <w:rFonts w:eastAsia="Times New Roman"/>
          <w:sz w:val="24"/>
          <w:szCs w:val="24"/>
          <w:lang w:val="en-GB" w:eastAsia="pl-PL"/>
        </w:rPr>
        <w:t>How should the EU Cohesion Policy address the diverse situation of regions at the EU's Eastern borders and provide regions with adequate support tailored to their specific circumstances?</w:t>
      </w:r>
      <w:r w:rsidR="00272923">
        <w:rPr>
          <w:rFonts w:eastAsia="Times New Roman"/>
          <w:sz w:val="24"/>
          <w:szCs w:val="24"/>
          <w:lang w:val="en-GB" w:eastAsia="pl-PL"/>
        </w:rPr>
        <w:t xml:space="preserve"> How to combine top down with bottom-up approach, involving local authorities and communities?</w:t>
      </w:r>
    </w:p>
    <w:p w14:paraId="467821EE" w14:textId="77777777" w:rsidR="00CA5E9E" w:rsidRDefault="00CA5E9E" w:rsidP="00CA5E9E">
      <w:pPr>
        <w:pStyle w:val="Akapitzlist"/>
        <w:spacing w:after="120" w:line="276" w:lineRule="auto"/>
        <w:ind w:left="1080"/>
        <w:jc w:val="both"/>
        <w:rPr>
          <w:rFonts w:eastAsia="Times New Roman"/>
          <w:lang w:val="en-GB" w:eastAsia="pl-PL"/>
        </w:rPr>
      </w:pPr>
    </w:p>
    <w:p w14:paraId="131D4FE7" w14:textId="77777777" w:rsidR="00CA5E9E" w:rsidRPr="00972AB4" w:rsidRDefault="00CA5E9E" w:rsidP="00CA5E9E">
      <w:pPr>
        <w:pStyle w:val="Akapitzlist"/>
        <w:numPr>
          <w:ilvl w:val="0"/>
          <w:numId w:val="18"/>
        </w:numPr>
        <w:spacing w:after="120" w:line="276" w:lineRule="auto"/>
        <w:jc w:val="both"/>
        <w:rPr>
          <w:rFonts w:eastAsia="Times New Roman"/>
          <w:lang w:val="en-GB" w:eastAsia="pl-PL"/>
        </w:rPr>
      </w:pPr>
      <w:r w:rsidRPr="7D8C22A5">
        <w:rPr>
          <w:rFonts w:eastAsia="Times New Roman"/>
          <w:sz w:val="24"/>
          <w:szCs w:val="24"/>
          <w:lang w:val="en-GB" w:eastAsia="pl-PL"/>
        </w:rPr>
        <w:t xml:space="preserve">What </w:t>
      </w:r>
      <w:r w:rsidRPr="00CA5E9E">
        <w:rPr>
          <w:rFonts w:eastAsia="Times New Roman"/>
          <w:sz w:val="24"/>
          <w:szCs w:val="24"/>
          <w:lang w:val="en-GB" w:eastAsia="pl-PL"/>
        </w:rPr>
        <w:t xml:space="preserve">measures and instruments </w:t>
      </w:r>
      <w:r w:rsidRPr="7D8C22A5">
        <w:rPr>
          <w:rFonts w:eastAsia="Times New Roman"/>
          <w:sz w:val="24"/>
          <w:szCs w:val="24"/>
          <w:lang w:val="en-GB" w:eastAsia="pl-PL"/>
        </w:rPr>
        <w:t xml:space="preserve">could </w:t>
      </w:r>
      <w:r w:rsidRPr="00CA5E9E">
        <w:rPr>
          <w:rFonts w:eastAsia="Times New Roman"/>
          <w:sz w:val="24"/>
          <w:szCs w:val="24"/>
          <w:lang w:val="en-GB" w:eastAsia="pl-PL"/>
        </w:rPr>
        <w:t>strengthen the economies of regions bordering aggressor countries</w:t>
      </w:r>
      <w:r w:rsidRPr="7D8C22A5">
        <w:rPr>
          <w:rFonts w:eastAsia="Times New Roman"/>
          <w:sz w:val="24"/>
          <w:szCs w:val="24"/>
          <w:lang w:val="en-GB" w:eastAsia="pl-PL"/>
        </w:rPr>
        <w:t xml:space="preserve"> individually and collectively</w:t>
      </w:r>
      <w:r w:rsidRPr="00CA5E9E">
        <w:rPr>
          <w:rFonts w:eastAsia="Times New Roman"/>
          <w:sz w:val="24"/>
          <w:szCs w:val="24"/>
          <w:lang w:val="en-GB" w:eastAsia="pl-PL"/>
        </w:rPr>
        <w:t xml:space="preserve">, in particular </w:t>
      </w:r>
      <w:r w:rsidRPr="7D8C22A5">
        <w:rPr>
          <w:rFonts w:eastAsia="Times New Roman"/>
          <w:sz w:val="24"/>
          <w:szCs w:val="24"/>
          <w:lang w:val="en-GB" w:eastAsia="pl-PL"/>
        </w:rPr>
        <w:t>to maintain</w:t>
      </w:r>
      <w:r w:rsidRPr="00CA5E9E">
        <w:rPr>
          <w:rFonts w:eastAsia="Times New Roman"/>
          <w:sz w:val="24"/>
          <w:szCs w:val="24"/>
          <w:lang w:val="en-GB" w:eastAsia="pl-PL"/>
        </w:rPr>
        <w:t xml:space="preserve"> employment and the competitiveness of enterprises?</w:t>
      </w:r>
    </w:p>
    <w:p w14:paraId="6E37B632" w14:textId="77777777" w:rsidR="00972AB4" w:rsidRPr="00972AB4" w:rsidRDefault="00972AB4" w:rsidP="00972AB4">
      <w:pPr>
        <w:pStyle w:val="Akapitzlist"/>
        <w:rPr>
          <w:rFonts w:eastAsia="Times New Roman"/>
          <w:sz w:val="24"/>
          <w:szCs w:val="24"/>
          <w:lang w:val="en-GB" w:eastAsia="pl-PL"/>
        </w:rPr>
      </w:pPr>
    </w:p>
    <w:p w14:paraId="25030FE0" w14:textId="77777777" w:rsidR="00972AB4" w:rsidRPr="00986AFF" w:rsidRDefault="00972AB4" w:rsidP="00972AB4">
      <w:pPr>
        <w:pStyle w:val="Akapitzlist"/>
        <w:numPr>
          <w:ilvl w:val="0"/>
          <w:numId w:val="18"/>
        </w:numPr>
        <w:spacing w:after="120" w:line="276" w:lineRule="auto"/>
        <w:jc w:val="both"/>
        <w:rPr>
          <w:rFonts w:eastAsia="Times New Roman"/>
          <w:sz w:val="24"/>
          <w:szCs w:val="24"/>
          <w:lang w:val="en-GB" w:eastAsia="pl-PL"/>
        </w:rPr>
      </w:pPr>
      <w:r w:rsidRPr="00986AFF">
        <w:rPr>
          <w:rFonts w:eastAsia="Times New Roman"/>
          <w:sz w:val="24"/>
          <w:szCs w:val="24"/>
          <w:lang w:val="en-GB" w:eastAsia="pl-PL"/>
        </w:rPr>
        <w:t>What measures and instruments could strengthen social cohesion and preparedness in the regions bordering the aggressor countries, and especially address rising skills shortages, poverty and pressure on social services?</w:t>
      </w:r>
    </w:p>
    <w:p w14:paraId="38AEDB37" w14:textId="77777777" w:rsidR="00CA5E9E" w:rsidRPr="00CA5E9E" w:rsidRDefault="00CA5E9E" w:rsidP="00CA5E9E">
      <w:pPr>
        <w:pStyle w:val="Akapitzlist"/>
        <w:rPr>
          <w:rFonts w:eastAsia="Times New Roman"/>
          <w:lang w:val="en-GB" w:eastAsia="pl-PL"/>
        </w:rPr>
      </w:pPr>
    </w:p>
    <w:p w14:paraId="668F060A" w14:textId="4A81EBDB" w:rsidR="00CA5E9E" w:rsidRDefault="00CA5E9E" w:rsidP="00CA5E9E">
      <w:pPr>
        <w:pStyle w:val="Akapitzlist"/>
        <w:numPr>
          <w:ilvl w:val="0"/>
          <w:numId w:val="18"/>
        </w:numPr>
        <w:spacing w:after="120" w:line="276" w:lineRule="auto"/>
        <w:jc w:val="both"/>
        <w:rPr>
          <w:rFonts w:eastAsia="Times New Roman" w:cstheme="minorHAnsi"/>
          <w:sz w:val="24"/>
          <w:szCs w:val="24"/>
          <w:lang w:val="en-GB" w:eastAsia="pl-PL"/>
        </w:rPr>
      </w:pPr>
      <w:r w:rsidRPr="00CA5E9E">
        <w:rPr>
          <w:rFonts w:eastAsia="Times New Roman" w:cstheme="minorHAnsi"/>
          <w:sz w:val="24"/>
          <w:szCs w:val="24"/>
          <w:lang w:val="en-GB" w:eastAsia="pl-PL"/>
        </w:rPr>
        <w:t>What are the possible new development paths for these territories, making use of their local competitive advantages to increase their resilience in the long term?</w:t>
      </w:r>
      <w:r w:rsidR="00272923">
        <w:rPr>
          <w:rFonts w:eastAsia="Times New Roman" w:cstheme="minorHAnsi"/>
          <w:sz w:val="24"/>
          <w:szCs w:val="24"/>
          <w:lang w:val="en-GB" w:eastAsia="pl-PL"/>
        </w:rPr>
        <w:t xml:space="preserve"> What role for mainstream cohesion policy and what role for Interreg?</w:t>
      </w:r>
    </w:p>
    <w:p w14:paraId="1412B23B" w14:textId="77777777" w:rsidR="00CA5E9E" w:rsidRPr="00CA5E9E" w:rsidRDefault="00CA5E9E" w:rsidP="00CA5E9E">
      <w:pPr>
        <w:pStyle w:val="Akapitzlist"/>
        <w:rPr>
          <w:rFonts w:eastAsia="Times New Roman" w:cstheme="minorHAnsi"/>
          <w:sz w:val="24"/>
          <w:szCs w:val="24"/>
          <w:lang w:val="en-GB" w:eastAsia="pl-PL"/>
        </w:rPr>
      </w:pPr>
    </w:p>
    <w:p w14:paraId="17E7A585" w14:textId="72B47630" w:rsidR="00CA5E9E" w:rsidRPr="00726B01" w:rsidRDefault="00CA5E9E" w:rsidP="00CA5E9E">
      <w:pPr>
        <w:pStyle w:val="Akapitzlist"/>
        <w:numPr>
          <w:ilvl w:val="0"/>
          <w:numId w:val="18"/>
        </w:numPr>
        <w:spacing w:after="120" w:line="276" w:lineRule="auto"/>
        <w:jc w:val="both"/>
        <w:rPr>
          <w:rFonts w:eastAsia="Times New Roman"/>
          <w:lang w:val="en-GB" w:eastAsia="pl-PL"/>
        </w:rPr>
      </w:pPr>
      <w:r w:rsidRPr="7D8C22A5">
        <w:rPr>
          <w:rFonts w:eastAsia="Times New Roman"/>
          <w:sz w:val="24"/>
          <w:szCs w:val="24"/>
          <w:lang w:val="en-GB" w:eastAsia="pl-PL"/>
        </w:rPr>
        <w:t xml:space="preserve">Which areas </w:t>
      </w:r>
      <w:r w:rsidRPr="00CA5E9E">
        <w:rPr>
          <w:rFonts w:eastAsia="Times New Roman"/>
          <w:sz w:val="24"/>
          <w:szCs w:val="24"/>
          <w:lang w:val="en-GB" w:eastAsia="pl-PL"/>
        </w:rPr>
        <w:t xml:space="preserve">of support specific to Cohesion Policy </w:t>
      </w:r>
      <w:r w:rsidRPr="7D8C22A5">
        <w:rPr>
          <w:rFonts w:eastAsia="Times New Roman"/>
          <w:sz w:val="24"/>
          <w:szCs w:val="24"/>
          <w:lang w:val="en-GB" w:eastAsia="pl-PL"/>
        </w:rPr>
        <w:t>sh</w:t>
      </w:r>
      <w:r w:rsidRPr="00CA5E9E">
        <w:rPr>
          <w:rFonts w:eastAsia="Times New Roman"/>
          <w:sz w:val="24"/>
          <w:szCs w:val="24"/>
          <w:lang w:val="en-GB" w:eastAsia="pl-PL"/>
        </w:rPr>
        <w:t xml:space="preserve">ould create synergies with </w:t>
      </w:r>
      <w:r w:rsidRPr="7D8C22A5">
        <w:rPr>
          <w:rFonts w:eastAsia="Times New Roman"/>
          <w:sz w:val="24"/>
          <w:szCs w:val="24"/>
          <w:lang w:val="en-GB" w:eastAsia="pl-PL"/>
        </w:rPr>
        <w:t xml:space="preserve">other EU policy </w:t>
      </w:r>
      <w:r w:rsidRPr="00CA5E9E">
        <w:rPr>
          <w:rFonts w:eastAsia="Times New Roman"/>
          <w:sz w:val="24"/>
          <w:szCs w:val="24"/>
          <w:lang w:val="en-GB" w:eastAsia="pl-PL"/>
        </w:rPr>
        <w:t>instruments?</w:t>
      </w:r>
      <w:r w:rsidR="00272923">
        <w:rPr>
          <w:rFonts w:eastAsia="Times New Roman"/>
          <w:sz w:val="24"/>
          <w:szCs w:val="24"/>
          <w:lang w:val="en-GB" w:eastAsia="pl-PL"/>
        </w:rPr>
        <w:t xml:space="preserve"> How to ensure coherence with other national and regional policies?</w:t>
      </w:r>
    </w:p>
    <w:p w14:paraId="50CF1CB4" w14:textId="77777777" w:rsidR="00272923" w:rsidRPr="00272923" w:rsidRDefault="00272923" w:rsidP="00272923">
      <w:pPr>
        <w:spacing w:after="0" w:line="240" w:lineRule="auto"/>
        <w:ind w:left="720"/>
        <w:rPr>
          <w:rFonts w:ascii="Calibri" w:eastAsia="Calibri" w:hAnsi="Calibri" w:cs="Calibri"/>
          <w:i/>
          <w:iCs/>
          <w:lang w:val="en-GB"/>
        </w:rPr>
      </w:pPr>
    </w:p>
    <w:p w14:paraId="3D04B9D2" w14:textId="77777777" w:rsidR="00272923" w:rsidRDefault="00272923" w:rsidP="00CA5E9E">
      <w:pPr>
        <w:spacing w:after="120" w:line="276" w:lineRule="auto"/>
        <w:jc w:val="both"/>
        <w:rPr>
          <w:rFonts w:eastAsia="Times New Roman"/>
          <w:sz w:val="24"/>
          <w:szCs w:val="24"/>
          <w:lang w:val="en-GB" w:eastAsia="pl-PL"/>
        </w:rPr>
      </w:pPr>
    </w:p>
    <w:sectPr w:rsidR="00272923" w:rsidSect="00CA5E9E">
      <w:footerReference w:type="default" r:id="rId11"/>
      <w:pgSz w:w="11906" w:h="16838"/>
      <w:pgMar w:top="1418" w:right="1080" w:bottom="851" w:left="108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DEDB" w14:textId="77777777" w:rsidR="00B60B8C" w:rsidRDefault="00B60B8C" w:rsidP="003805F0">
      <w:pPr>
        <w:spacing w:after="0" w:line="240" w:lineRule="auto"/>
      </w:pPr>
      <w:r>
        <w:separator/>
      </w:r>
    </w:p>
  </w:endnote>
  <w:endnote w:type="continuationSeparator" w:id="0">
    <w:p w14:paraId="6A63F59E" w14:textId="77777777" w:rsidR="00B60B8C" w:rsidRDefault="00B60B8C" w:rsidP="003805F0">
      <w:pPr>
        <w:spacing w:after="0" w:line="240" w:lineRule="auto"/>
      </w:pPr>
      <w:r>
        <w:continuationSeparator/>
      </w:r>
    </w:p>
  </w:endnote>
  <w:endnote w:type="continuationNotice" w:id="1">
    <w:p w14:paraId="08365EFC" w14:textId="77777777" w:rsidR="00B60B8C" w:rsidRDefault="00B60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333105"/>
      <w:docPartObj>
        <w:docPartGallery w:val="Page Numbers (Bottom of Page)"/>
        <w:docPartUnique/>
      </w:docPartObj>
    </w:sdtPr>
    <w:sdtEndPr/>
    <w:sdtContent>
      <w:p w14:paraId="0A231569" w14:textId="356F64E1" w:rsidR="003805F0" w:rsidRDefault="003805F0">
        <w:pPr>
          <w:pStyle w:val="Stopka"/>
          <w:jc w:val="right"/>
        </w:pPr>
        <w:r>
          <w:fldChar w:fldCharType="begin"/>
        </w:r>
        <w:r>
          <w:instrText>PAGE   \* MERGEFORMAT</w:instrText>
        </w:r>
        <w:r>
          <w:fldChar w:fldCharType="separate"/>
        </w:r>
        <w:r>
          <w:t>2</w:t>
        </w:r>
        <w:r>
          <w:fldChar w:fldCharType="end"/>
        </w:r>
      </w:p>
    </w:sdtContent>
  </w:sdt>
  <w:p w14:paraId="20BE8050" w14:textId="77777777" w:rsidR="003805F0" w:rsidRDefault="003805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9EBF" w14:textId="77777777" w:rsidR="00B60B8C" w:rsidRDefault="00B60B8C" w:rsidP="003805F0">
      <w:pPr>
        <w:spacing w:after="0" w:line="240" w:lineRule="auto"/>
      </w:pPr>
      <w:r>
        <w:separator/>
      </w:r>
    </w:p>
  </w:footnote>
  <w:footnote w:type="continuationSeparator" w:id="0">
    <w:p w14:paraId="47A8DAB1" w14:textId="77777777" w:rsidR="00B60B8C" w:rsidRDefault="00B60B8C" w:rsidP="003805F0">
      <w:pPr>
        <w:spacing w:after="0" w:line="240" w:lineRule="auto"/>
      </w:pPr>
      <w:r>
        <w:continuationSeparator/>
      </w:r>
    </w:p>
  </w:footnote>
  <w:footnote w:type="continuationNotice" w:id="1">
    <w:p w14:paraId="656426E2" w14:textId="77777777" w:rsidR="00B60B8C" w:rsidRDefault="00B60B8C">
      <w:pPr>
        <w:spacing w:after="0" w:line="240" w:lineRule="auto"/>
      </w:pPr>
    </w:p>
  </w:footnote>
  <w:footnote w:id="2">
    <w:p w14:paraId="23158FE4" w14:textId="74002069" w:rsidR="003A0434" w:rsidRPr="00CA5E9E" w:rsidRDefault="003A0434">
      <w:pPr>
        <w:pStyle w:val="Tekstprzypisudolnego"/>
        <w:rPr>
          <w:lang w:val="en-US"/>
        </w:rPr>
      </w:pPr>
      <w:r>
        <w:rPr>
          <w:rStyle w:val="Odwoanieprzypisudolnego"/>
        </w:rPr>
        <w:footnoteRef/>
      </w:r>
      <w:r>
        <w:t xml:space="preserve"> Ma</w:t>
      </w:r>
      <w:r w:rsidR="006026BA">
        <w:t xml:space="preserve">ny of the these </w:t>
      </w:r>
      <w:r w:rsidRPr="00CA5E9E">
        <w:rPr>
          <w:rFonts w:eastAsia="Times New Roman" w:cstheme="minorHAnsi"/>
          <w:lang w:val="en-GB" w:eastAsia="pl-PL"/>
        </w:rPr>
        <w:t xml:space="preserve">challenges facing the EU eastern regions bordering Russia and Belarus were </w:t>
      </w:r>
      <w:r w:rsidR="006026BA">
        <w:rPr>
          <w:rFonts w:eastAsia="Times New Roman" w:cstheme="minorHAnsi"/>
          <w:lang w:val="en-GB" w:eastAsia="pl-PL"/>
        </w:rPr>
        <w:t xml:space="preserve">illustrated </w:t>
      </w:r>
      <w:r w:rsidRPr="00CA5E9E">
        <w:rPr>
          <w:rFonts w:eastAsia="Times New Roman" w:cstheme="minorHAnsi"/>
          <w:lang w:val="en-GB" w:eastAsia="pl-PL"/>
        </w:rPr>
        <w:t xml:space="preserve">in the Declaration on </w:t>
      </w:r>
      <w:r w:rsidRPr="00CA5E9E">
        <w:rPr>
          <w:rFonts w:eastAsia="Times New Roman" w:cstheme="minorHAnsi"/>
          <w:i/>
          <w:iCs/>
          <w:lang w:val="en-GB" w:eastAsia="pl-PL"/>
        </w:rPr>
        <w:t>Building Strong and Resilient EU Regions Bordering Aggressor Countries</w:t>
      </w:r>
      <w:r w:rsidRPr="00CA5E9E">
        <w:rPr>
          <w:rFonts w:eastAsia="Times New Roman" w:cstheme="minorHAnsi"/>
          <w:lang w:val="en-GB" w:eastAsia="pl-PL"/>
        </w:rPr>
        <w:t>, signed by Estonia, Latvia, Lithuania and Poland in November 2024, in Vilnius.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A1"/>
    <w:multiLevelType w:val="multilevel"/>
    <w:tmpl w:val="7CC8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54D7D"/>
    <w:multiLevelType w:val="multilevel"/>
    <w:tmpl w:val="E84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7BF4"/>
    <w:multiLevelType w:val="multilevel"/>
    <w:tmpl w:val="325A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F292A"/>
    <w:multiLevelType w:val="hybridMultilevel"/>
    <w:tmpl w:val="57B07A8C"/>
    <w:lvl w:ilvl="0" w:tplc="04150001">
      <w:start w:val="1"/>
      <w:numFmt w:val="bullet"/>
      <w:lvlText w:val=""/>
      <w:lvlJc w:val="left"/>
      <w:pPr>
        <w:ind w:left="360" w:hanging="360"/>
      </w:pPr>
      <w:rPr>
        <w:rFonts w:ascii="Symbol" w:hAnsi="Symbol" w:hint="default"/>
        <w:b/>
        <w:sz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6A1658"/>
    <w:multiLevelType w:val="multilevel"/>
    <w:tmpl w:val="D3BC6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60720"/>
    <w:multiLevelType w:val="multilevel"/>
    <w:tmpl w:val="FD3A4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E6900"/>
    <w:multiLevelType w:val="multilevel"/>
    <w:tmpl w:val="F6B4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171FE"/>
    <w:multiLevelType w:val="multilevel"/>
    <w:tmpl w:val="B72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F5B43"/>
    <w:multiLevelType w:val="multilevel"/>
    <w:tmpl w:val="D964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3084C"/>
    <w:multiLevelType w:val="multilevel"/>
    <w:tmpl w:val="0A9EC2EA"/>
    <w:lvl w:ilvl="0">
      <w:start w:val="1"/>
      <w:numFmt w:val="decimal"/>
      <w:lvlText w:val="%1."/>
      <w:lvlJc w:val="left"/>
      <w:pPr>
        <w:tabs>
          <w:tab w:val="num" w:pos="2061"/>
        </w:tabs>
        <w:ind w:left="2061" w:hanging="360"/>
      </w:pPr>
    </w:lvl>
    <w:lvl w:ilvl="1">
      <w:start w:val="1"/>
      <w:numFmt w:val="bullet"/>
      <w:lvlText w:val="o"/>
      <w:lvlJc w:val="left"/>
      <w:pPr>
        <w:tabs>
          <w:tab w:val="num" w:pos="2781"/>
        </w:tabs>
        <w:ind w:left="2781" w:hanging="360"/>
      </w:pPr>
      <w:rPr>
        <w:rFonts w:ascii="Courier New" w:hAnsi="Courier New" w:hint="default"/>
        <w:sz w:val="20"/>
      </w:r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10" w15:restartNumberingAfterBreak="0">
    <w:nsid w:val="3F8064AE"/>
    <w:multiLevelType w:val="hybridMultilevel"/>
    <w:tmpl w:val="E9C48266"/>
    <w:lvl w:ilvl="0" w:tplc="FE825C74">
      <w:start w:val="1"/>
      <w:numFmt w:val="decimal"/>
      <w:lvlText w:val="%1."/>
      <w:lvlJc w:val="left"/>
      <w:pPr>
        <w:ind w:left="720" w:hanging="360"/>
      </w:pPr>
      <w:rPr>
        <w:rFonts w:asciiTheme="minorHAnsi" w:eastAsia="Times New Roman" w:hAnsiTheme="minorHAnsi" w:cstheme="minorHAns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004B45"/>
    <w:multiLevelType w:val="multilevel"/>
    <w:tmpl w:val="9808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F7021"/>
    <w:multiLevelType w:val="hybridMultilevel"/>
    <w:tmpl w:val="3A486A2E"/>
    <w:lvl w:ilvl="0" w:tplc="AC3C01D2">
      <w:start w:val="25"/>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6BA5767C"/>
    <w:multiLevelType w:val="hybridMultilevel"/>
    <w:tmpl w:val="9F70197E"/>
    <w:lvl w:ilvl="0" w:tplc="04150001">
      <w:start w:val="1"/>
      <w:numFmt w:val="bullet"/>
      <w:lvlText w:val=""/>
      <w:lvlJc w:val="left"/>
      <w:pPr>
        <w:ind w:left="360" w:hanging="360"/>
      </w:pPr>
      <w:rPr>
        <w:rFonts w:ascii="Symbol" w:hAnsi="Symbol" w:hint="default"/>
        <w:b/>
        <w:sz w:val="22"/>
      </w:rPr>
    </w:lvl>
    <w:lvl w:ilvl="1" w:tplc="FDF0A888">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C1D38BC"/>
    <w:multiLevelType w:val="hybridMultilevel"/>
    <w:tmpl w:val="904C5A74"/>
    <w:lvl w:ilvl="0" w:tplc="A694F7A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C4A64E0"/>
    <w:multiLevelType w:val="hybridMultilevel"/>
    <w:tmpl w:val="8A623F7C"/>
    <w:lvl w:ilvl="0" w:tplc="447A5FD2">
      <w:start w:val="25"/>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15:restartNumberingAfterBreak="0">
    <w:nsid w:val="7F7A3348"/>
    <w:multiLevelType w:val="multilevel"/>
    <w:tmpl w:val="05C83F00"/>
    <w:lvl w:ilvl="0">
      <w:start w:val="25"/>
      <w:numFmt w:val="decimal"/>
      <w:lvlText w:val="%1"/>
      <w:lvlJc w:val="left"/>
      <w:pPr>
        <w:ind w:left="510" w:hanging="510"/>
      </w:pPr>
      <w:rPr>
        <w:rFonts w:hint="default"/>
      </w:rPr>
    </w:lvl>
    <w:lvl w:ilvl="1">
      <w:start w:val="2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861D13"/>
    <w:multiLevelType w:val="multilevel"/>
    <w:tmpl w:val="39A2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5"/>
  </w:num>
  <w:num w:numId="4">
    <w:abstractNumId w:val="17"/>
  </w:num>
  <w:num w:numId="5">
    <w:abstractNumId w:val="2"/>
  </w:num>
  <w:num w:numId="6">
    <w:abstractNumId w:val="11"/>
  </w:num>
  <w:num w:numId="7">
    <w:abstractNumId w:val="7"/>
  </w:num>
  <w:num w:numId="8">
    <w:abstractNumId w:val="6"/>
  </w:num>
  <w:num w:numId="9">
    <w:abstractNumId w:val="8"/>
  </w:num>
  <w:num w:numId="10">
    <w:abstractNumId w:val="0"/>
  </w:num>
  <w:num w:numId="11">
    <w:abstractNumId w:val="1"/>
  </w:num>
  <w:num w:numId="12">
    <w:abstractNumId w:val="3"/>
  </w:num>
  <w:num w:numId="13">
    <w:abstractNumId w:val="16"/>
  </w:num>
  <w:num w:numId="14">
    <w:abstractNumId w:val="15"/>
  </w:num>
  <w:num w:numId="15">
    <w:abstractNumId w:val="12"/>
  </w:num>
  <w:num w:numId="16">
    <w:abstractNumId w:val="13"/>
  </w:num>
  <w:num w:numId="17">
    <w:abstractNumId w:val="10"/>
  </w:num>
  <w:num w:numId="18">
    <w:abstractNumId w:val="14"/>
  </w:num>
  <w:num w:numId="19">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88"/>
    <w:rsid w:val="000110B9"/>
    <w:rsid w:val="000142A7"/>
    <w:rsid w:val="00060F4F"/>
    <w:rsid w:val="00075F6B"/>
    <w:rsid w:val="0008A9E5"/>
    <w:rsid w:val="000927C6"/>
    <w:rsid w:val="000D20C8"/>
    <w:rsid w:val="000D26E8"/>
    <w:rsid w:val="000D4472"/>
    <w:rsid w:val="000E09F8"/>
    <w:rsid w:val="000E24CB"/>
    <w:rsid w:val="0013023B"/>
    <w:rsid w:val="00135F0C"/>
    <w:rsid w:val="00136A1A"/>
    <w:rsid w:val="0014736A"/>
    <w:rsid w:val="00161FB5"/>
    <w:rsid w:val="00180026"/>
    <w:rsid w:val="00182EEF"/>
    <w:rsid w:val="001849BD"/>
    <w:rsid w:val="00184A78"/>
    <w:rsid w:val="0019181C"/>
    <w:rsid w:val="00194872"/>
    <w:rsid w:val="001962DB"/>
    <w:rsid w:val="001A5F83"/>
    <w:rsid w:val="001D4BFA"/>
    <w:rsid w:val="001D7125"/>
    <w:rsid w:val="001E17D7"/>
    <w:rsid w:val="001E382C"/>
    <w:rsid w:val="001E4B10"/>
    <w:rsid w:val="001F568E"/>
    <w:rsid w:val="002015C5"/>
    <w:rsid w:val="00226020"/>
    <w:rsid w:val="002371A2"/>
    <w:rsid w:val="0027201A"/>
    <w:rsid w:val="00272923"/>
    <w:rsid w:val="0027310D"/>
    <w:rsid w:val="002857D4"/>
    <w:rsid w:val="00287844"/>
    <w:rsid w:val="0029419E"/>
    <w:rsid w:val="002A5CE5"/>
    <w:rsid w:val="002B3EBD"/>
    <w:rsid w:val="002B74D3"/>
    <w:rsid w:val="002C2BF9"/>
    <w:rsid w:val="002D2828"/>
    <w:rsid w:val="002E1D40"/>
    <w:rsid w:val="002E424E"/>
    <w:rsid w:val="002E529A"/>
    <w:rsid w:val="00301D21"/>
    <w:rsid w:val="00303C99"/>
    <w:rsid w:val="003056EC"/>
    <w:rsid w:val="00307A41"/>
    <w:rsid w:val="003129B0"/>
    <w:rsid w:val="003139C9"/>
    <w:rsid w:val="00313B59"/>
    <w:rsid w:val="0033436A"/>
    <w:rsid w:val="0033E1F6"/>
    <w:rsid w:val="00342245"/>
    <w:rsid w:val="00352706"/>
    <w:rsid w:val="0035376D"/>
    <w:rsid w:val="00362101"/>
    <w:rsid w:val="0036791D"/>
    <w:rsid w:val="00372948"/>
    <w:rsid w:val="003805F0"/>
    <w:rsid w:val="00390616"/>
    <w:rsid w:val="003A0137"/>
    <w:rsid w:val="003A0434"/>
    <w:rsid w:val="003B25A6"/>
    <w:rsid w:val="003B3D4E"/>
    <w:rsid w:val="003C1038"/>
    <w:rsid w:val="00404291"/>
    <w:rsid w:val="00427984"/>
    <w:rsid w:val="00431098"/>
    <w:rsid w:val="00434F09"/>
    <w:rsid w:val="00456A06"/>
    <w:rsid w:val="004615C3"/>
    <w:rsid w:val="004837D5"/>
    <w:rsid w:val="004856FE"/>
    <w:rsid w:val="004A722F"/>
    <w:rsid w:val="004A771B"/>
    <w:rsid w:val="004B2478"/>
    <w:rsid w:val="004C1F8A"/>
    <w:rsid w:val="004D605C"/>
    <w:rsid w:val="004E03A6"/>
    <w:rsid w:val="005002FB"/>
    <w:rsid w:val="005113D1"/>
    <w:rsid w:val="00514138"/>
    <w:rsid w:val="00523FFF"/>
    <w:rsid w:val="0054304F"/>
    <w:rsid w:val="005B0935"/>
    <w:rsid w:val="005C14FD"/>
    <w:rsid w:val="005E1C39"/>
    <w:rsid w:val="005E521F"/>
    <w:rsid w:val="005E6321"/>
    <w:rsid w:val="006026BA"/>
    <w:rsid w:val="00633E4B"/>
    <w:rsid w:val="006534F0"/>
    <w:rsid w:val="00656325"/>
    <w:rsid w:val="00666915"/>
    <w:rsid w:val="006702EF"/>
    <w:rsid w:val="00687BB1"/>
    <w:rsid w:val="00690BBD"/>
    <w:rsid w:val="00696C7D"/>
    <w:rsid w:val="006A5A3E"/>
    <w:rsid w:val="006B4C45"/>
    <w:rsid w:val="006D587B"/>
    <w:rsid w:val="006D5D2F"/>
    <w:rsid w:val="006E1B74"/>
    <w:rsid w:val="006E7713"/>
    <w:rsid w:val="006F46F0"/>
    <w:rsid w:val="00726B01"/>
    <w:rsid w:val="007357A3"/>
    <w:rsid w:val="00762ADF"/>
    <w:rsid w:val="00783EBD"/>
    <w:rsid w:val="00793301"/>
    <w:rsid w:val="007A0109"/>
    <w:rsid w:val="007A3B63"/>
    <w:rsid w:val="007B4B00"/>
    <w:rsid w:val="007B4D7F"/>
    <w:rsid w:val="007C02AB"/>
    <w:rsid w:val="007D1931"/>
    <w:rsid w:val="007E09A4"/>
    <w:rsid w:val="00800101"/>
    <w:rsid w:val="00812676"/>
    <w:rsid w:val="0081446C"/>
    <w:rsid w:val="00821CC8"/>
    <w:rsid w:val="00841B6A"/>
    <w:rsid w:val="00874B4D"/>
    <w:rsid w:val="00883163"/>
    <w:rsid w:val="008A0AB7"/>
    <w:rsid w:val="008A0CCC"/>
    <w:rsid w:val="008B00F5"/>
    <w:rsid w:val="008C03E3"/>
    <w:rsid w:val="008E0308"/>
    <w:rsid w:val="008F1482"/>
    <w:rsid w:val="008F554D"/>
    <w:rsid w:val="00902A88"/>
    <w:rsid w:val="009179D8"/>
    <w:rsid w:val="0093662C"/>
    <w:rsid w:val="009433EE"/>
    <w:rsid w:val="00955BF8"/>
    <w:rsid w:val="00962C4F"/>
    <w:rsid w:val="00966900"/>
    <w:rsid w:val="00972AB4"/>
    <w:rsid w:val="009844B2"/>
    <w:rsid w:val="009868DB"/>
    <w:rsid w:val="00986AFF"/>
    <w:rsid w:val="009AD9B2"/>
    <w:rsid w:val="009D3122"/>
    <w:rsid w:val="009F17BE"/>
    <w:rsid w:val="00A25D49"/>
    <w:rsid w:val="00A33C35"/>
    <w:rsid w:val="00A514E3"/>
    <w:rsid w:val="00A64206"/>
    <w:rsid w:val="00A6790C"/>
    <w:rsid w:val="00AB7537"/>
    <w:rsid w:val="00AC3468"/>
    <w:rsid w:val="00AE1F72"/>
    <w:rsid w:val="00B26E58"/>
    <w:rsid w:val="00B473A1"/>
    <w:rsid w:val="00B60B8C"/>
    <w:rsid w:val="00B75E56"/>
    <w:rsid w:val="00B77988"/>
    <w:rsid w:val="00B87402"/>
    <w:rsid w:val="00B944B9"/>
    <w:rsid w:val="00BC3BC6"/>
    <w:rsid w:val="00BD0CB0"/>
    <w:rsid w:val="00BE0A74"/>
    <w:rsid w:val="00BE62A9"/>
    <w:rsid w:val="00C0720F"/>
    <w:rsid w:val="00C15F81"/>
    <w:rsid w:val="00C534ED"/>
    <w:rsid w:val="00C601FF"/>
    <w:rsid w:val="00C85313"/>
    <w:rsid w:val="00C930C0"/>
    <w:rsid w:val="00C977ED"/>
    <w:rsid w:val="00CA5E9E"/>
    <w:rsid w:val="00CB0094"/>
    <w:rsid w:val="00CC3CEA"/>
    <w:rsid w:val="00CD206E"/>
    <w:rsid w:val="00CE13E4"/>
    <w:rsid w:val="00CF4721"/>
    <w:rsid w:val="00CF4B5E"/>
    <w:rsid w:val="00D102C5"/>
    <w:rsid w:val="00D4733A"/>
    <w:rsid w:val="00D55324"/>
    <w:rsid w:val="00D61397"/>
    <w:rsid w:val="00D66827"/>
    <w:rsid w:val="00D67B22"/>
    <w:rsid w:val="00D72234"/>
    <w:rsid w:val="00D92981"/>
    <w:rsid w:val="00DE2A1D"/>
    <w:rsid w:val="00DE35C0"/>
    <w:rsid w:val="00DE7E29"/>
    <w:rsid w:val="00DF1292"/>
    <w:rsid w:val="00DF77F1"/>
    <w:rsid w:val="00E056DA"/>
    <w:rsid w:val="00E06421"/>
    <w:rsid w:val="00E209D8"/>
    <w:rsid w:val="00E55AB9"/>
    <w:rsid w:val="00E91B61"/>
    <w:rsid w:val="00EC2E65"/>
    <w:rsid w:val="00EC58B2"/>
    <w:rsid w:val="00EE4CAC"/>
    <w:rsid w:val="00EF6221"/>
    <w:rsid w:val="00F37071"/>
    <w:rsid w:val="00F41457"/>
    <w:rsid w:val="00F558DF"/>
    <w:rsid w:val="00F609F4"/>
    <w:rsid w:val="00F61900"/>
    <w:rsid w:val="00F64607"/>
    <w:rsid w:val="00F67538"/>
    <w:rsid w:val="00F67E85"/>
    <w:rsid w:val="00F748B9"/>
    <w:rsid w:val="00FD0F42"/>
    <w:rsid w:val="00FE3E7F"/>
    <w:rsid w:val="01D131D0"/>
    <w:rsid w:val="022501EE"/>
    <w:rsid w:val="026A9320"/>
    <w:rsid w:val="0356F6B4"/>
    <w:rsid w:val="035989D6"/>
    <w:rsid w:val="0393FE92"/>
    <w:rsid w:val="03C74CC9"/>
    <w:rsid w:val="0426F0B8"/>
    <w:rsid w:val="04A0A166"/>
    <w:rsid w:val="05EE0F44"/>
    <w:rsid w:val="0600ACA1"/>
    <w:rsid w:val="06FBA812"/>
    <w:rsid w:val="0746BD95"/>
    <w:rsid w:val="0801BF8D"/>
    <w:rsid w:val="08D0B944"/>
    <w:rsid w:val="091CCC7E"/>
    <w:rsid w:val="0930468C"/>
    <w:rsid w:val="0941C0CC"/>
    <w:rsid w:val="097C857E"/>
    <w:rsid w:val="0A161A9B"/>
    <w:rsid w:val="0B0927BB"/>
    <w:rsid w:val="0B420BB1"/>
    <w:rsid w:val="0B5152F7"/>
    <w:rsid w:val="0B86DA3A"/>
    <w:rsid w:val="0C09743D"/>
    <w:rsid w:val="0C1CD5E0"/>
    <w:rsid w:val="0C95C815"/>
    <w:rsid w:val="0CB23E85"/>
    <w:rsid w:val="0D257820"/>
    <w:rsid w:val="0DA6A425"/>
    <w:rsid w:val="0DA819C3"/>
    <w:rsid w:val="0DF7540D"/>
    <w:rsid w:val="0DF8A057"/>
    <w:rsid w:val="0E808681"/>
    <w:rsid w:val="0EA3FEA9"/>
    <w:rsid w:val="0EA91162"/>
    <w:rsid w:val="0ED57539"/>
    <w:rsid w:val="0F339DC7"/>
    <w:rsid w:val="0FCE76F1"/>
    <w:rsid w:val="1010D51E"/>
    <w:rsid w:val="10FFDB93"/>
    <w:rsid w:val="120E2AF9"/>
    <w:rsid w:val="125EA06E"/>
    <w:rsid w:val="12C34E8A"/>
    <w:rsid w:val="12CBD627"/>
    <w:rsid w:val="13C5EA94"/>
    <w:rsid w:val="13D63E22"/>
    <w:rsid w:val="14AFDB30"/>
    <w:rsid w:val="1548732B"/>
    <w:rsid w:val="15732D8C"/>
    <w:rsid w:val="1595A17B"/>
    <w:rsid w:val="15AD19D7"/>
    <w:rsid w:val="15D9874B"/>
    <w:rsid w:val="1723FBD4"/>
    <w:rsid w:val="17345DB4"/>
    <w:rsid w:val="17853C15"/>
    <w:rsid w:val="17C51BA7"/>
    <w:rsid w:val="17EB5A69"/>
    <w:rsid w:val="18950049"/>
    <w:rsid w:val="191DD71F"/>
    <w:rsid w:val="196A5D35"/>
    <w:rsid w:val="19ED3F19"/>
    <w:rsid w:val="1A046F00"/>
    <w:rsid w:val="1A8D0A9A"/>
    <w:rsid w:val="1BDE7D2D"/>
    <w:rsid w:val="1D1D0DFC"/>
    <w:rsid w:val="1DB56B6E"/>
    <w:rsid w:val="1E29F653"/>
    <w:rsid w:val="1E39DE61"/>
    <w:rsid w:val="1E4AA49A"/>
    <w:rsid w:val="1E5A8B10"/>
    <w:rsid w:val="1EC4F65A"/>
    <w:rsid w:val="1EDA4E2C"/>
    <w:rsid w:val="1EF22FEB"/>
    <w:rsid w:val="1F2853F7"/>
    <w:rsid w:val="1F327EA7"/>
    <w:rsid w:val="1F637D53"/>
    <w:rsid w:val="1FC1B186"/>
    <w:rsid w:val="1FF3E9D7"/>
    <w:rsid w:val="200F6248"/>
    <w:rsid w:val="2094F876"/>
    <w:rsid w:val="2130EEAB"/>
    <w:rsid w:val="2170AFB0"/>
    <w:rsid w:val="2204281A"/>
    <w:rsid w:val="223852E6"/>
    <w:rsid w:val="2255A635"/>
    <w:rsid w:val="22F79928"/>
    <w:rsid w:val="2300195D"/>
    <w:rsid w:val="23889826"/>
    <w:rsid w:val="23FDEB94"/>
    <w:rsid w:val="244DE88E"/>
    <w:rsid w:val="24856B51"/>
    <w:rsid w:val="257535AE"/>
    <w:rsid w:val="2583B9B5"/>
    <w:rsid w:val="25FD0DFE"/>
    <w:rsid w:val="261CF2D8"/>
    <w:rsid w:val="26277DA4"/>
    <w:rsid w:val="267210DA"/>
    <w:rsid w:val="26B37A15"/>
    <w:rsid w:val="270F8144"/>
    <w:rsid w:val="272DF453"/>
    <w:rsid w:val="274A745D"/>
    <w:rsid w:val="27B39CD8"/>
    <w:rsid w:val="27E2FCF4"/>
    <w:rsid w:val="2820B4E1"/>
    <w:rsid w:val="2884E191"/>
    <w:rsid w:val="28A5C898"/>
    <w:rsid w:val="28CD6775"/>
    <w:rsid w:val="29B35FA0"/>
    <w:rsid w:val="2A157C3D"/>
    <w:rsid w:val="2A33CD8D"/>
    <w:rsid w:val="2A5C6BE5"/>
    <w:rsid w:val="2AA51BD2"/>
    <w:rsid w:val="2AE0F168"/>
    <w:rsid w:val="2B4D29B5"/>
    <w:rsid w:val="2C12D372"/>
    <w:rsid w:val="2C7165AC"/>
    <w:rsid w:val="2CBF4416"/>
    <w:rsid w:val="2DD62310"/>
    <w:rsid w:val="2DDB312D"/>
    <w:rsid w:val="2F780E7A"/>
    <w:rsid w:val="2FFFBF31"/>
    <w:rsid w:val="3000A0B3"/>
    <w:rsid w:val="3030AABB"/>
    <w:rsid w:val="3074AA80"/>
    <w:rsid w:val="30D00487"/>
    <w:rsid w:val="30D4FED3"/>
    <w:rsid w:val="30E7A5C3"/>
    <w:rsid w:val="32C79147"/>
    <w:rsid w:val="3316BCFF"/>
    <w:rsid w:val="337F6607"/>
    <w:rsid w:val="33C51891"/>
    <w:rsid w:val="355CA349"/>
    <w:rsid w:val="355FEA10"/>
    <w:rsid w:val="357B93DF"/>
    <w:rsid w:val="35AC687C"/>
    <w:rsid w:val="371BBA2D"/>
    <w:rsid w:val="3733D7DA"/>
    <w:rsid w:val="376B26BA"/>
    <w:rsid w:val="37B700AC"/>
    <w:rsid w:val="37E2D192"/>
    <w:rsid w:val="3837BBA5"/>
    <w:rsid w:val="38A5BE2E"/>
    <w:rsid w:val="38BC5FFE"/>
    <w:rsid w:val="391122C1"/>
    <w:rsid w:val="3937C202"/>
    <w:rsid w:val="3A267450"/>
    <w:rsid w:val="3A952D17"/>
    <w:rsid w:val="3B116DA8"/>
    <w:rsid w:val="3B230611"/>
    <w:rsid w:val="3B511C4D"/>
    <w:rsid w:val="3B5FEEDF"/>
    <w:rsid w:val="3B6BACDA"/>
    <w:rsid w:val="3B96662B"/>
    <w:rsid w:val="3BC73DEC"/>
    <w:rsid w:val="3C8842A3"/>
    <w:rsid w:val="3CCBB17A"/>
    <w:rsid w:val="3D58E2ED"/>
    <w:rsid w:val="3E28EE54"/>
    <w:rsid w:val="3E2FB02A"/>
    <w:rsid w:val="3E77D627"/>
    <w:rsid w:val="3E88F327"/>
    <w:rsid w:val="3F11CC4A"/>
    <w:rsid w:val="3FEF3D95"/>
    <w:rsid w:val="40654C9C"/>
    <w:rsid w:val="406B9A63"/>
    <w:rsid w:val="4079F0D2"/>
    <w:rsid w:val="40A615C8"/>
    <w:rsid w:val="40C665C5"/>
    <w:rsid w:val="418E242B"/>
    <w:rsid w:val="41936740"/>
    <w:rsid w:val="4224AE4D"/>
    <w:rsid w:val="423FFE0C"/>
    <w:rsid w:val="428AB931"/>
    <w:rsid w:val="43074193"/>
    <w:rsid w:val="443441D8"/>
    <w:rsid w:val="44F4E390"/>
    <w:rsid w:val="45AC92CC"/>
    <w:rsid w:val="45D97FA5"/>
    <w:rsid w:val="45F6DD55"/>
    <w:rsid w:val="45FF3614"/>
    <w:rsid w:val="463F46CB"/>
    <w:rsid w:val="4644C96E"/>
    <w:rsid w:val="4663B525"/>
    <w:rsid w:val="47EEA311"/>
    <w:rsid w:val="49381670"/>
    <w:rsid w:val="4951F951"/>
    <w:rsid w:val="4A236ED6"/>
    <w:rsid w:val="4A617F46"/>
    <w:rsid w:val="4AAB2CDF"/>
    <w:rsid w:val="4AC35705"/>
    <w:rsid w:val="4AC7F8B7"/>
    <w:rsid w:val="4B9202A2"/>
    <w:rsid w:val="4BF02E28"/>
    <w:rsid w:val="4C11293B"/>
    <w:rsid w:val="4E01832C"/>
    <w:rsid w:val="4E2F8477"/>
    <w:rsid w:val="4E7F6F41"/>
    <w:rsid w:val="4EEF30BD"/>
    <w:rsid w:val="4F48967F"/>
    <w:rsid w:val="50F43E50"/>
    <w:rsid w:val="50FB871A"/>
    <w:rsid w:val="515C80C4"/>
    <w:rsid w:val="51830F14"/>
    <w:rsid w:val="5217EF62"/>
    <w:rsid w:val="530297A1"/>
    <w:rsid w:val="534D2572"/>
    <w:rsid w:val="5385906D"/>
    <w:rsid w:val="53C4E577"/>
    <w:rsid w:val="554B7A75"/>
    <w:rsid w:val="566BF866"/>
    <w:rsid w:val="56C084B0"/>
    <w:rsid w:val="575267E4"/>
    <w:rsid w:val="58F36165"/>
    <w:rsid w:val="59590FB4"/>
    <w:rsid w:val="59CE49BD"/>
    <w:rsid w:val="5A07DDE9"/>
    <w:rsid w:val="5B1D04BC"/>
    <w:rsid w:val="5BD74BB1"/>
    <w:rsid w:val="5C1F5285"/>
    <w:rsid w:val="5C5C9158"/>
    <w:rsid w:val="5C7C622D"/>
    <w:rsid w:val="5E0C1761"/>
    <w:rsid w:val="5E3DE50C"/>
    <w:rsid w:val="5E9FC2AF"/>
    <w:rsid w:val="5F0E9671"/>
    <w:rsid w:val="5FD7BEAF"/>
    <w:rsid w:val="60284A59"/>
    <w:rsid w:val="6092850A"/>
    <w:rsid w:val="60DF91D5"/>
    <w:rsid w:val="60E78867"/>
    <w:rsid w:val="61760C5F"/>
    <w:rsid w:val="620078F2"/>
    <w:rsid w:val="62C672D2"/>
    <w:rsid w:val="639CDB96"/>
    <w:rsid w:val="65A555CF"/>
    <w:rsid w:val="65CB3322"/>
    <w:rsid w:val="65D8D613"/>
    <w:rsid w:val="6628B27C"/>
    <w:rsid w:val="67A8E3A1"/>
    <w:rsid w:val="681AE7D7"/>
    <w:rsid w:val="683D08FB"/>
    <w:rsid w:val="68AD594C"/>
    <w:rsid w:val="6944884B"/>
    <w:rsid w:val="69AFBC24"/>
    <w:rsid w:val="6A6426C4"/>
    <w:rsid w:val="6A93DA39"/>
    <w:rsid w:val="6AF4C6C7"/>
    <w:rsid w:val="6C9794CF"/>
    <w:rsid w:val="6CBBCBA6"/>
    <w:rsid w:val="6D965EF7"/>
    <w:rsid w:val="6DE85953"/>
    <w:rsid w:val="6E13B1AD"/>
    <w:rsid w:val="6E2D8C26"/>
    <w:rsid w:val="6E3F5FC8"/>
    <w:rsid w:val="6E401751"/>
    <w:rsid w:val="6EC661A1"/>
    <w:rsid w:val="6EDB12C8"/>
    <w:rsid w:val="6F5C5A32"/>
    <w:rsid w:val="7008143D"/>
    <w:rsid w:val="7010CF5D"/>
    <w:rsid w:val="7037BE46"/>
    <w:rsid w:val="712FBB5E"/>
    <w:rsid w:val="7171EA51"/>
    <w:rsid w:val="71BEAC42"/>
    <w:rsid w:val="722CEBBA"/>
    <w:rsid w:val="730CA10B"/>
    <w:rsid w:val="73978D02"/>
    <w:rsid w:val="73A34AAB"/>
    <w:rsid w:val="749ADEB0"/>
    <w:rsid w:val="74A7CEB3"/>
    <w:rsid w:val="74B16B1D"/>
    <w:rsid w:val="74E5FC48"/>
    <w:rsid w:val="75F9F45B"/>
    <w:rsid w:val="762FC01C"/>
    <w:rsid w:val="7637FA92"/>
    <w:rsid w:val="7709AC5A"/>
    <w:rsid w:val="78281E81"/>
    <w:rsid w:val="7829FC79"/>
    <w:rsid w:val="784871DC"/>
    <w:rsid w:val="78A3AECD"/>
    <w:rsid w:val="78D00CA6"/>
    <w:rsid w:val="799DE482"/>
    <w:rsid w:val="79B333F4"/>
    <w:rsid w:val="79E3BBB1"/>
    <w:rsid w:val="7A4ADD4F"/>
    <w:rsid w:val="7ADF8DE7"/>
    <w:rsid w:val="7B784DC7"/>
    <w:rsid w:val="7BD7D9DE"/>
    <w:rsid w:val="7BF185E8"/>
    <w:rsid w:val="7BF65157"/>
    <w:rsid w:val="7C60E065"/>
    <w:rsid w:val="7CD46510"/>
    <w:rsid w:val="7CFB0D87"/>
    <w:rsid w:val="7D553614"/>
    <w:rsid w:val="7D8C22A5"/>
    <w:rsid w:val="7DAFF9B9"/>
    <w:rsid w:val="7FBCD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66F89"/>
  <w15:chartTrackingRefBased/>
  <w15:docId w15:val="{1CDBD613-0371-4074-804E-132E0FF4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DF12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
    <w:qFormat/>
    <w:rsid w:val="003A013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E7E29"/>
    <w:rPr>
      <w:color w:val="808080"/>
    </w:rPr>
  </w:style>
  <w:style w:type="character" w:customStyle="1" w:styleId="Nagwek4Znak">
    <w:name w:val="Nagłówek 4 Znak"/>
    <w:basedOn w:val="Domylnaczcionkaakapitu"/>
    <w:link w:val="Nagwek4"/>
    <w:uiPriority w:val="9"/>
    <w:rsid w:val="003A0137"/>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3A0137"/>
    <w:rPr>
      <w:b/>
      <w:bCs/>
    </w:rPr>
  </w:style>
  <w:style w:type="character" w:customStyle="1" w:styleId="Nagwek3Znak">
    <w:name w:val="Nagłówek 3 Znak"/>
    <w:basedOn w:val="Domylnaczcionkaakapitu"/>
    <w:link w:val="Nagwek3"/>
    <w:uiPriority w:val="9"/>
    <w:semiHidden/>
    <w:rsid w:val="00DF1292"/>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0D26E8"/>
    <w:pPr>
      <w:ind w:left="720"/>
      <w:contextualSpacing/>
    </w:pPr>
  </w:style>
  <w:style w:type="paragraph" w:styleId="Nagwek">
    <w:name w:val="header"/>
    <w:basedOn w:val="Normalny"/>
    <w:link w:val="NagwekZnak"/>
    <w:uiPriority w:val="99"/>
    <w:unhideWhenUsed/>
    <w:rsid w:val="0038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05F0"/>
  </w:style>
  <w:style w:type="paragraph" w:styleId="Stopka">
    <w:name w:val="footer"/>
    <w:basedOn w:val="Normalny"/>
    <w:link w:val="StopkaZnak"/>
    <w:uiPriority w:val="99"/>
    <w:unhideWhenUsed/>
    <w:rsid w:val="0038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05F0"/>
  </w:style>
  <w:style w:type="character" w:styleId="Odwoaniedokomentarza">
    <w:name w:val="annotation reference"/>
    <w:basedOn w:val="Domylnaczcionkaakapitu"/>
    <w:uiPriority w:val="99"/>
    <w:semiHidden/>
    <w:unhideWhenUsed/>
    <w:rsid w:val="00287844"/>
    <w:rPr>
      <w:sz w:val="16"/>
      <w:szCs w:val="16"/>
    </w:rPr>
  </w:style>
  <w:style w:type="paragraph" w:styleId="Tekstkomentarza">
    <w:name w:val="annotation text"/>
    <w:basedOn w:val="Normalny"/>
    <w:link w:val="TekstkomentarzaZnak"/>
    <w:uiPriority w:val="99"/>
    <w:semiHidden/>
    <w:unhideWhenUsed/>
    <w:rsid w:val="002878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7844"/>
    <w:rPr>
      <w:sz w:val="20"/>
      <w:szCs w:val="20"/>
    </w:rPr>
  </w:style>
  <w:style w:type="paragraph" w:styleId="Tematkomentarza">
    <w:name w:val="annotation subject"/>
    <w:basedOn w:val="Tekstkomentarza"/>
    <w:next w:val="Tekstkomentarza"/>
    <w:link w:val="TematkomentarzaZnak"/>
    <w:uiPriority w:val="99"/>
    <w:semiHidden/>
    <w:unhideWhenUsed/>
    <w:rsid w:val="00287844"/>
    <w:rPr>
      <w:b/>
      <w:bCs/>
    </w:rPr>
  </w:style>
  <w:style w:type="character" w:customStyle="1" w:styleId="TematkomentarzaZnak">
    <w:name w:val="Temat komentarza Znak"/>
    <w:basedOn w:val="TekstkomentarzaZnak"/>
    <w:link w:val="Tematkomentarza"/>
    <w:uiPriority w:val="99"/>
    <w:semiHidden/>
    <w:rsid w:val="00287844"/>
    <w:rPr>
      <w:b/>
      <w:bCs/>
      <w:sz w:val="20"/>
      <w:szCs w:val="20"/>
    </w:rPr>
  </w:style>
  <w:style w:type="paragraph" w:styleId="Poprawka">
    <w:name w:val="Revision"/>
    <w:hidden/>
    <w:uiPriority w:val="99"/>
    <w:semiHidden/>
    <w:rsid w:val="000142A7"/>
    <w:pPr>
      <w:spacing w:after="0" w:line="240" w:lineRule="auto"/>
    </w:pPr>
  </w:style>
  <w:style w:type="paragraph" w:styleId="Tekstprzypisudolnego">
    <w:name w:val="footnote text"/>
    <w:basedOn w:val="Normalny"/>
    <w:link w:val="TekstprzypisudolnegoZnak"/>
    <w:uiPriority w:val="99"/>
    <w:semiHidden/>
    <w:unhideWhenUsed/>
    <w:rsid w:val="003A04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434"/>
    <w:rPr>
      <w:sz w:val="20"/>
      <w:szCs w:val="20"/>
    </w:rPr>
  </w:style>
  <w:style w:type="character" w:styleId="Odwoanieprzypisudolnego">
    <w:name w:val="footnote reference"/>
    <w:basedOn w:val="Domylnaczcionkaakapitu"/>
    <w:uiPriority w:val="99"/>
    <w:semiHidden/>
    <w:unhideWhenUsed/>
    <w:rsid w:val="003A0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8474">
      <w:bodyDiv w:val="1"/>
      <w:marLeft w:val="0"/>
      <w:marRight w:val="0"/>
      <w:marTop w:val="0"/>
      <w:marBottom w:val="0"/>
      <w:divBdr>
        <w:top w:val="none" w:sz="0" w:space="0" w:color="auto"/>
        <w:left w:val="none" w:sz="0" w:space="0" w:color="auto"/>
        <w:bottom w:val="none" w:sz="0" w:space="0" w:color="auto"/>
        <w:right w:val="none" w:sz="0" w:space="0" w:color="auto"/>
      </w:divBdr>
    </w:div>
    <w:div w:id="861477178">
      <w:bodyDiv w:val="1"/>
      <w:marLeft w:val="0"/>
      <w:marRight w:val="0"/>
      <w:marTop w:val="0"/>
      <w:marBottom w:val="0"/>
      <w:divBdr>
        <w:top w:val="none" w:sz="0" w:space="0" w:color="auto"/>
        <w:left w:val="none" w:sz="0" w:space="0" w:color="auto"/>
        <w:bottom w:val="none" w:sz="0" w:space="0" w:color="auto"/>
        <w:right w:val="none" w:sz="0" w:space="0" w:color="auto"/>
      </w:divBdr>
    </w:div>
    <w:div w:id="1097294118">
      <w:bodyDiv w:val="1"/>
      <w:marLeft w:val="0"/>
      <w:marRight w:val="0"/>
      <w:marTop w:val="0"/>
      <w:marBottom w:val="0"/>
      <w:divBdr>
        <w:top w:val="none" w:sz="0" w:space="0" w:color="auto"/>
        <w:left w:val="none" w:sz="0" w:space="0" w:color="auto"/>
        <w:bottom w:val="none" w:sz="0" w:space="0" w:color="auto"/>
        <w:right w:val="none" w:sz="0" w:space="0" w:color="auto"/>
      </w:divBdr>
    </w:div>
    <w:div w:id="1193419231">
      <w:bodyDiv w:val="1"/>
      <w:marLeft w:val="0"/>
      <w:marRight w:val="0"/>
      <w:marTop w:val="0"/>
      <w:marBottom w:val="0"/>
      <w:divBdr>
        <w:top w:val="none" w:sz="0" w:space="0" w:color="auto"/>
        <w:left w:val="none" w:sz="0" w:space="0" w:color="auto"/>
        <w:bottom w:val="none" w:sz="0" w:space="0" w:color="auto"/>
        <w:right w:val="none" w:sz="0" w:space="0" w:color="auto"/>
      </w:divBdr>
    </w:div>
    <w:div w:id="1276522089">
      <w:bodyDiv w:val="1"/>
      <w:marLeft w:val="0"/>
      <w:marRight w:val="0"/>
      <w:marTop w:val="0"/>
      <w:marBottom w:val="0"/>
      <w:divBdr>
        <w:top w:val="none" w:sz="0" w:space="0" w:color="auto"/>
        <w:left w:val="none" w:sz="0" w:space="0" w:color="auto"/>
        <w:bottom w:val="none" w:sz="0" w:space="0" w:color="auto"/>
        <w:right w:val="none" w:sz="0" w:space="0" w:color="auto"/>
      </w:divBdr>
    </w:div>
    <w:div w:id="1736974567">
      <w:bodyDiv w:val="1"/>
      <w:marLeft w:val="0"/>
      <w:marRight w:val="0"/>
      <w:marTop w:val="0"/>
      <w:marBottom w:val="0"/>
      <w:divBdr>
        <w:top w:val="none" w:sz="0" w:space="0" w:color="auto"/>
        <w:left w:val="none" w:sz="0" w:space="0" w:color="auto"/>
        <w:bottom w:val="none" w:sz="0" w:space="0" w:color="auto"/>
        <w:right w:val="none" w:sz="0" w:space="0" w:color="auto"/>
      </w:divBdr>
    </w:div>
    <w:div w:id="21380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7730BFF16C740A8CB169650446D2C" ma:contentTypeVersion="13" ma:contentTypeDescription="Create a new document." ma:contentTypeScope="" ma:versionID="9af4411a932445659e6dce95e98969ca">
  <xsd:schema xmlns:xsd="http://www.w3.org/2001/XMLSchema" xmlns:xs="http://www.w3.org/2001/XMLSchema" xmlns:p="http://schemas.microsoft.com/office/2006/metadata/properties" xmlns:ns1="http://schemas.microsoft.com/sharepoint/v3" xmlns:ns2="3b780326-b6af-41fd-a3d3-55d71fbbb340" targetNamespace="http://schemas.microsoft.com/office/2006/metadata/properties" ma:root="true" ma:fieldsID="0c77e8daec9784d56192e711b4112890" ns1:_="" ns2:_="">
    <xsd:import namespace="http://schemas.microsoft.com/sharepoint/v3"/>
    <xsd:import namespace="3b780326-b6af-41fd-a3d3-55d71fbbb340"/>
    <xsd:element name="properties">
      <xsd:complexType>
        <xsd:sequence>
          <xsd:element name="documentManagement">
            <xsd:complexType>
              <xsd:all>
                <xsd:element ref="ns1:_vti_ItemDeclaredRecord" minOccurs="0"/>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780326-b6af-41fd-a3d3-55d71fbbb340"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780326-b6af-41fd-a3d3-55d71fbbb34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DCD2E79A-DCEE-440E-A02F-B35D7DEF1D1F}">
  <ds:schemaRefs>
    <ds:schemaRef ds:uri="http://schemas.openxmlformats.org/officeDocument/2006/bibliography"/>
  </ds:schemaRefs>
</ds:datastoreItem>
</file>

<file path=customXml/itemProps2.xml><?xml version="1.0" encoding="utf-8"?>
<ds:datastoreItem xmlns:ds="http://schemas.openxmlformats.org/officeDocument/2006/customXml" ds:itemID="{E844C88C-E066-424E-8A5D-D4BEE3A14E52}">
  <ds:schemaRefs>
    <ds:schemaRef ds:uri="http://schemas.microsoft.com/sharepoint/v3/contenttype/forms"/>
  </ds:schemaRefs>
</ds:datastoreItem>
</file>

<file path=customXml/itemProps3.xml><?xml version="1.0" encoding="utf-8"?>
<ds:datastoreItem xmlns:ds="http://schemas.openxmlformats.org/officeDocument/2006/customXml" ds:itemID="{712346E5-269F-478D-A773-C4E74B9F4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780326-b6af-41fd-a3d3-55d71fbb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515CF-2BDF-4C63-B78E-337F5466A03F}">
  <ds:schemaRefs>
    <ds:schemaRef ds:uri="http://schemas.microsoft.com/office/2006/metadata/properties"/>
    <ds:schemaRef ds:uri="http://schemas.microsoft.com/office/infopath/2007/PartnerControls"/>
    <ds:schemaRef ds:uri="3b780326-b6af-41fd-a3d3-55d71fbbb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5988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Kober Michał</dc:creator>
  <cp:keywords/>
  <dc:description/>
  <cp:lastModifiedBy>Ochej-Łokuciejewska Magdalena</cp:lastModifiedBy>
  <cp:revision>2</cp:revision>
  <dcterms:created xsi:type="dcterms:W3CDTF">2025-06-03T12:55:00Z</dcterms:created>
  <dcterms:modified xsi:type="dcterms:W3CDTF">2025-06-03T12:55:00Z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0x01010034D7730BFF16C740A8CB169650446D2C</vt:lpwstr>
  </property>
  <property fmtid="{D5CDD505-2E9C-101B-9397-08002B2CF9AE}" pid="3" name="MSIP_Label_6bd9ddd1-4d20-43f6-abfa-fc3c07406f94_Enabled">
    <vt:lpwstr>true</vt:lpwstr>
  </property>
  <property fmtid="{D5CDD505-2E9C-101B-9397-08002B2CF9AE}" pid="4" name="MSIP_Label_6bd9ddd1-4d20-43f6-abfa-fc3c07406f94_SetDate">
    <vt:lpwstr>2025-05-20T08:00:13Z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6e8369f9-0091-4677-9ff1-afc12883ea61</vt:lpwstr>
  </property>
  <property fmtid="{D5CDD505-2E9C-101B-9397-08002B2CF9AE}" pid="9" name="MSIP_Label_6bd9ddd1-4d20-43f6-abfa-fc3c07406f94_ContentBits">
    <vt:lpwstr>0</vt:lpwstr>
  </property>
  <property fmtid="{D5CDD505-2E9C-101B-9397-08002B2CF9AE}" pid="10" name="EC_TX_Corporate_x0020_Body">
    <vt:lpwstr/>
  </property>
  <property fmtid="{D5CDD505-2E9C-101B-9397-08002B2CF9AE}" pid="11" name="EC_TX_All_World_Countries">
    <vt:lpwstr/>
  </property>
  <property fmtid="{D5CDD505-2E9C-101B-9397-08002B2CF9AE}" pid="12" name="MediaServiceImageTags">
    <vt:lpwstr/>
  </property>
  <property fmtid="{D5CDD505-2E9C-101B-9397-08002B2CF9AE}" pid="13" name="i8c8ab8b63424c5d9f8c4a8434abf670">
    <vt:lpwstr/>
  </property>
  <property fmtid="{D5CDD505-2E9C-101B-9397-08002B2CF9AE}" pid="14" name="p26229aee9004b9f888149fd0449ec68">
    <vt:lpwstr/>
  </property>
  <property fmtid="{D5CDD505-2E9C-101B-9397-08002B2CF9AE}" pid="15" name="eff2cf69f10b4279bbb27215ca009b37">
    <vt:lpwstr/>
  </property>
  <property fmtid="{D5CDD505-2E9C-101B-9397-08002B2CF9AE}" pid="16" name="EC_TX_Resource_Type">
    <vt:lpwstr/>
  </property>
  <property fmtid="{D5CDD505-2E9C-101B-9397-08002B2CF9AE}" pid="17" name="EC_TX_EU_Member_State">
    <vt:lpwstr/>
  </property>
  <property fmtid="{D5CDD505-2E9C-101B-9397-08002B2CF9AE}" pid="18" name="j8309f8bc3e645d1a2f07391f8e5795a">
    <vt:lpwstr/>
  </property>
  <property fmtid="{D5CDD505-2E9C-101B-9397-08002B2CF9AE}" pid="19" name="g81cb4d17be94922847ce418ea81f55a">
    <vt:lpwstr/>
  </property>
  <property fmtid="{D5CDD505-2E9C-101B-9397-08002B2CF9AE}" pid="20" name="TaxCatchAll">
    <vt:lpwstr/>
  </property>
  <property fmtid="{D5CDD505-2E9C-101B-9397-08002B2CF9AE}" pid="21" name="k2c54712f93b47eb83e1835ba301b6c6">
    <vt:lpwstr/>
  </property>
  <property fmtid="{D5CDD505-2E9C-101B-9397-08002B2CF9AE}" pid="22" name="EC_TX_Strategic_Priority">
    <vt:lpwstr/>
  </property>
  <property fmtid="{D5CDD505-2E9C-101B-9397-08002B2CF9AE}" pid="23" name="EC_TX_EU_Political_Leader">
    <vt:lpwstr/>
  </property>
  <property fmtid="{D5CDD505-2E9C-101B-9397-08002B2CF9AE}" pid="24" name="EC_TX_Corporate Body">
    <vt:lpwstr/>
  </property>
</Properties>
</file>